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09" w:rsidRPr="005D1027" w:rsidRDefault="00C72A78">
      <w:pPr>
        <w:jc w:val="center"/>
        <w:rPr>
          <w:rStyle w:val="10"/>
          <w:rFonts w:ascii="方正小标宋简体" w:eastAsia="方正小标宋简体"/>
          <w:i w:val="0"/>
          <w:color w:val="0070C0"/>
          <w:sz w:val="36"/>
          <w:szCs w:val="36"/>
        </w:rPr>
      </w:pPr>
      <w:r w:rsidRPr="005D1027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2021年1-5月无锡市国民经济运行情况简析</w:t>
      </w:r>
    </w:p>
    <w:p w:rsidR="00947809" w:rsidRDefault="00947809">
      <w:pPr>
        <w:pStyle w:val="a3"/>
        <w:snapToGrid w:val="0"/>
        <w:spacing w:line="360" w:lineRule="auto"/>
        <w:ind w:firstLine="560"/>
        <w:jc w:val="both"/>
        <w:rPr>
          <w:sz w:val="28"/>
          <w:szCs w:val="28"/>
        </w:rPr>
      </w:pPr>
    </w:p>
    <w:p w:rsidR="00947809" w:rsidRDefault="00C72A78">
      <w:pPr>
        <w:pStyle w:val="a3"/>
        <w:snapToGrid w:val="0"/>
        <w:spacing w:line="360" w:lineRule="auto"/>
        <w:ind w:firstLineChars="0" w:firstLine="57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全市生产需求持续恢复、财税金融稳定增长、市场物价温和上涨，经济运行延续稳定恢复发展态势。</w:t>
      </w:r>
    </w:p>
    <w:p w:rsidR="00947809" w:rsidRDefault="005D1027">
      <w:pPr>
        <w:pStyle w:val="a3"/>
        <w:snapToGrid w:val="0"/>
        <w:spacing w:line="360" w:lineRule="auto"/>
        <w:ind w:firstLineChars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C72A78">
        <w:rPr>
          <w:sz w:val="28"/>
          <w:szCs w:val="28"/>
        </w:rPr>
        <w:t>一、工业生产</w:t>
      </w:r>
      <w:r w:rsidR="00C72A78">
        <w:rPr>
          <w:sz w:val="28"/>
          <w:szCs w:val="28"/>
        </w:rPr>
        <w:t xml:space="preserve"> </w:t>
      </w:r>
    </w:p>
    <w:p w:rsidR="00947809" w:rsidRDefault="005D1027">
      <w:pPr>
        <w:pStyle w:val="a3"/>
        <w:tabs>
          <w:tab w:val="left" w:pos="567"/>
          <w:tab w:val="left" w:pos="851"/>
        </w:tabs>
        <w:snapToGrid w:val="0"/>
        <w:spacing w:line="360" w:lineRule="auto"/>
        <w:ind w:firstLineChars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C72A78">
        <w:rPr>
          <w:sz w:val="28"/>
          <w:szCs w:val="28"/>
        </w:rPr>
        <w:t>1-</w:t>
      </w:r>
      <w:r w:rsidR="00C72A78">
        <w:rPr>
          <w:rFonts w:hint="eastAsia"/>
          <w:sz w:val="28"/>
          <w:szCs w:val="28"/>
        </w:rPr>
        <w:t>5</w:t>
      </w:r>
      <w:r w:rsidR="00C72A78">
        <w:rPr>
          <w:sz w:val="28"/>
          <w:szCs w:val="28"/>
        </w:rPr>
        <w:t>月</w:t>
      </w:r>
      <w:r w:rsidR="00C72A78">
        <w:rPr>
          <w:rFonts w:hint="eastAsia"/>
          <w:sz w:val="28"/>
          <w:szCs w:val="28"/>
        </w:rPr>
        <w:t>，</w:t>
      </w:r>
      <w:r w:rsidR="00C72A78">
        <w:rPr>
          <w:sz w:val="28"/>
          <w:szCs w:val="28"/>
        </w:rPr>
        <w:t>全市</w:t>
      </w:r>
      <w:r w:rsidR="00C72A78">
        <w:rPr>
          <w:rFonts w:hint="eastAsia"/>
          <w:sz w:val="28"/>
          <w:szCs w:val="28"/>
        </w:rPr>
        <w:t>实现规模以上工业总产值</w:t>
      </w:r>
      <w:r w:rsidR="00C72A78">
        <w:rPr>
          <w:rFonts w:hint="eastAsia"/>
          <w:sz w:val="28"/>
          <w:szCs w:val="28"/>
        </w:rPr>
        <w:t>8179.41</w:t>
      </w:r>
      <w:r w:rsidR="00C72A78">
        <w:rPr>
          <w:rFonts w:hint="eastAsia"/>
          <w:sz w:val="28"/>
          <w:szCs w:val="28"/>
        </w:rPr>
        <w:t>亿元，同比增长</w:t>
      </w:r>
      <w:r w:rsidR="00C72A78">
        <w:rPr>
          <w:rFonts w:hint="eastAsia"/>
          <w:sz w:val="28"/>
          <w:szCs w:val="28"/>
        </w:rPr>
        <w:t>29.9%</w:t>
      </w:r>
      <w:r w:rsidR="00C72A78">
        <w:rPr>
          <w:rFonts w:hint="eastAsia"/>
          <w:sz w:val="28"/>
          <w:szCs w:val="28"/>
        </w:rPr>
        <w:t>；实现规模以上</w:t>
      </w:r>
      <w:r w:rsidR="00C72A78">
        <w:rPr>
          <w:sz w:val="28"/>
          <w:szCs w:val="28"/>
        </w:rPr>
        <w:t>工业增加值</w:t>
      </w:r>
      <w:r w:rsidR="00C72A78">
        <w:rPr>
          <w:rFonts w:hint="eastAsia"/>
          <w:sz w:val="28"/>
          <w:szCs w:val="28"/>
        </w:rPr>
        <w:t>1894.10</w:t>
      </w:r>
      <w:r w:rsidR="00C72A78">
        <w:rPr>
          <w:sz w:val="28"/>
          <w:szCs w:val="28"/>
        </w:rPr>
        <w:t>亿元，同比</w:t>
      </w:r>
      <w:r w:rsidR="00C72A78">
        <w:rPr>
          <w:rFonts w:hint="eastAsia"/>
          <w:sz w:val="28"/>
          <w:szCs w:val="28"/>
        </w:rPr>
        <w:t>增长</w:t>
      </w:r>
      <w:r w:rsidR="00C72A78">
        <w:rPr>
          <w:rFonts w:hint="eastAsia"/>
          <w:sz w:val="28"/>
          <w:szCs w:val="28"/>
        </w:rPr>
        <w:t>23.5</w:t>
      </w:r>
      <w:r w:rsidR="00C72A78">
        <w:rPr>
          <w:sz w:val="28"/>
          <w:szCs w:val="28"/>
        </w:rPr>
        <w:t>%</w:t>
      </w:r>
      <w:r w:rsidR="00C72A78">
        <w:rPr>
          <w:rFonts w:hint="eastAsia"/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sz w:val="28"/>
          <w:szCs w:val="28"/>
        </w:rPr>
        <w:t>从工业产销看，全市规模以上工业产销率为</w:t>
      </w:r>
      <w:r>
        <w:rPr>
          <w:rFonts w:hint="eastAsia"/>
          <w:sz w:val="28"/>
          <w:szCs w:val="28"/>
        </w:rPr>
        <w:t>98.8</w:t>
      </w:r>
      <w:r w:rsidR="009F29EC"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  <w:r>
        <w:rPr>
          <w:sz w:val="28"/>
          <w:szCs w:val="28"/>
        </w:rPr>
        <w:t>30</w:t>
      </w:r>
      <w:r>
        <w:rPr>
          <w:sz w:val="28"/>
          <w:szCs w:val="28"/>
        </w:rPr>
        <w:t>种重点产品中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种产品产量实现正增长，其中</w:t>
      </w:r>
      <w:r>
        <w:rPr>
          <w:sz w:val="28"/>
          <w:szCs w:val="28"/>
          <w:lang w:val="zh-CN"/>
        </w:rPr>
        <w:t>装备制造工业中的集成电路、</w:t>
      </w:r>
      <w:r>
        <w:rPr>
          <w:rFonts w:hint="eastAsia"/>
          <w:sz w:val="28"/>
          <w:szCs w:val="28"/>
          <w:lang w:val="zh-CN"/>
        </w:rPr>
        <w:t>半导体</w:t>
      </w:r>
      <w:r>
        <w:rPr>
          <w:sz w:val="28"/>
          <w:szCs w:val="28"/>
          <w:lang w:val="zh-CN"/>
        </w:rPr>
        <w:t>分立器件</w:t>
      </w:r>
      <w:r>
        <w:rPr>
          <w:rFonts w:hint="eastAsia"/>
          <w:sz w:val="28"/>
          <w:szCs w:val="28"/>
          <w:lang w:val="zh-CN"/>
        </w:rPr>
        <w:t>、滚动轴承</w:t>
      </w:r>
      <w:r>
        <w:rPr>
          <w:sz w:val="28"/>
          <w:szCs w:val="28"/>
          <w:lang w:val="zh-CN"/>
        </w:rPr>
        <w:t>产量同比分别增长</w:t>
      </w:r>
      <w:r>
        <w:rPr>
          <w:rFonts w:hint="eastAsia"/>
          <w:sz w:val="28"/>
          <w:szCs w:val="28"/>
          <w:lang w:val="zh-CN"/>
        </w:rPr>
        <w:t>5</w:t>
      </w:r>
      <w:r>
        <w:rPr>
          <w:rFonts w:hint="eastAsia"/>
          <w:sz w:val="28"/>
          <w:szCs w:val="28"/>
        </w:rPr>
        <w:t>6.8</w:t>
      </w:r>
      <w:r>
        <w:rPr>
          <w:sz w:val="28"/>
          <w:szCs w:val="28"/>
          <w:lang w:val="zh-CN"/>
        </w:rPr>
        <w:t>%</w:t>
      </w:r>
      <w:r>
        <w:rPr>
          <w:rFonts w:hint="eastAsia"/>
          <w:sz w:val="28"/>
          <w:szCs w:val="28"/>
          <w:lang w:val="zh-CN"/>
        </w:rPr>
        <w:t>、</w:t>
      </w:r>
      <w:r>
        <w:rPr>
          <w:rFonts w:hint="eastAsia"/>
          <w:sz w:val="28"/>
          <w:szCs w:val="28"/>
        </w:rPr>
        <w:t>50.2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、</w:t>
      </w:r>
      <w:r>
        <w:rPr>
          <w:rFonts w:hint="eastAsia"/>
          <w:sz w:val="28"/>
          <w:szCs w:val="28"/>
        </w:rPr>
        <w:t>31.6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；消费品工业中的</w:t>
      </w:r>
      <w:r>
        <w:rPr>
          <w:rFonts w:hint="eastAsia"/>
          <w:sz w:val="28"/>
          <w:szCs w:val="28"/>
          <w:lang w:val="zh-CN"/>
        </w:rPr>
        <w:t>锂离子电池</w:t>
      </w:r>
      <w:r>
        <w:rPr>
          <w:sz w:val="28"/>
          <w:szCs w:val="28"/>
          <w:lang w:val="zh-CN"/>
        </w:rPr>
        <w:t>、微型计算机设备</w:t>
      </w:r>
      <w:r>
        <w:rPr>
          <w:rFonts w:hint="eastAsia"/>
          <w:sz w:val="28"/>
          <w:szCs w:val="28"/>
          <w:lang w:val="zh-CN"/>
        </w:rPr>
        <w:t>、家用洗衣机产量</w:t>
      </w:r>
      <w:r>
        <w:rPr>
          <w:sz w:val="28"/>
          <w:szCs w:val="28"/>
          <w:lang w:val="zh-CN"/>
        </w:rPr>
        <w:t>同比分别增长</w:t>
      </w:r>
      <w:r>
        <w:rPr>
          <w:rFonts w:hint="eastAsia"/>
          <w:sz w:val="28"/>
          <w:szCs w:val="28"/>
        </w:rPr>
        <w:t>68.7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、</w:t>
      </w:r>
      <w:r>
        <w:rPr>
          <w:rFonts w:hint="eastAsia"/>
          <w:sz w:val="28"/>
          <w:szCs w:val="28"/>
        </w:rPr>
        <w:t>59.5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、</w:t>
      </w:r>
      <w:r>
        <w:rPr>
          <w:rFonts w:hint="eastAsia"/>
          <w:sz w:val="28"/>
          <w:szCs w:val="28"/>
        </w:rPr>
        <w:t>49.6</w:t>
      </w:r>
      <w:r>
        <w:rPr>
          <w:sz w:val="28"/>
          <w:szCs w:val="28"/>
          <w:lang w:val="zh-CN"/>
        </w:rPr>
        <w:t>%</w:t>
      </w:r>
      <w:r>
        <w:rPr>
          <w:sz w:val="28"/>
          <w:szCs w:val="28"/>
          <w:lang w:val="zh-CN"/>
        </w:rPr>
        <w:t>。</w:t>
      </w:r>
    </w:p>
    <w:p w:rsidR="00947809" w:rsidRDefault="00C72A78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二、固定资产投资</w:t>
      </w:r>
    </w:p>
    <w:p w:rsidR="00947809" w:rsidRDefault="00C72A78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1-5</w:t>
      </w:r>
      <w:r>
        <w:rPr>
          <w:rFonts w:hint="eastAsia"/>
          <w:sz w:val="28"/>
          <w:szCs w:val="28"/>
        </w:rPr>
        <w:t>月，</w:t>
      </w:r>
      <w:r>
        <w:rPr>
          <w:sz w:val="28"/>
          <w:szCs w:val="28"/>
        </w:rPr>
        <w:t>全市完成固定资产投资</w:t>
      </w:r>
      <w:r>
        <w:rPr>
          <w:rFonts w:hint="eastAsia"/>
          <w:sz w:val="28"/>
          <w:szCs w:val="28"/>
        </w:rPr>
        <w:t>1534.37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6.8%</w:t>
      </w:r>
      <w:r>
        <w:rPr>
          <w:sz w:val="28"/>
          <w:szCs w:val="28"/>
        </w:rPr>
        <w:t>，其中工业</w:t>
      </w:r>
      <w:r>
        <w:rPr>
          <w:rFonts w:hint="eastAsia"/>
          <w:sz w:val="28"/>
          <w:szCs w:val="28"/>
        </w:rPr>
        <w:t>投资</w:t>
      </w:r>
      <w:r>
        <w:rPr>
          <w:rFonts w:hint="eastAsia"/>
          <w:sz w:val="28"/>
          <w:szCs w:val="28"/>
        </w:rPr>
        <w:t>620.72</w:t>
      </w:r>
      <w:r>
        <w:rPr>
          <w:sz w:val="28"/>
          <w:szCs w:val="28"/>
        </w:rPr>
        <w:t>亿元，同比下降</w:t>
      </w:r>
      <w:r>
        <w:rPr>
          <w:rFonts w:hint="eastAsia"/>
          <w:sz w:val="28"/>
          <w:szCs w:val="28"/>
        </w:rPr>
        <w:t>11.7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从产业投向看，第二产业</w:t>
      </w:r>
      <w:r>
        <w:rPr>
          <w:rFonts w:hint="eastAsia"/>
          <w:sz w:val="28"/>
          <w:szCs w:val="28"/>
        </w:rPr>
        <w:t>完成投资</w:t>
      </w:r>
      <w:r>
        <w:rPr>
          <w:rFonts w:hint="eastAsia"/>
          <w:sz w:val="28"/>
          <w:szCs w:val="28"/>
        </w:rPr>
        <w:t>620.72</w:t>
      </w:r>
      <w:r>
        <w:rPr>
          <w:rFonts w:hint="eastAsia"/>
          <w:sz w:val="28"/>
          <w:szCs w:val="28"/>
        </w:rPr>
        <w:t>亿元，</w:t>
      </w:r>
      <w:r>
        <w:rPr>
          <w:sz w:val="28"/>
          <w:szCs w:val="28"/>
        </w:rPr>
        <w:t>同比下降</w:t>
      </w:r>
      <w:r>
        <w:rPr>
          <w:rFonts w:hint="eastAsia"/>
          <w:sz w:val="28"/>
          <w:szCs w:val="28"/>
        </w:rPr>
        <w:t>11.7</w:t>
      </w:r>
      <w:r>
        <w:rPr>
          <w:sz w:val="28"/>
          <w:szCs w:val="28"/>
        </w:rPr>
        <w:t>%</w:t>
      </w:r>
      <w:r>
        <w:rPr>
          <w:sz w:val="28"/>
          <w:szCs w:val="28"/>
        </w:rPr>
        <w:t>，其中工业技改</w:t>
      </w:r>
      <w:r>
        <w:rPr>
          <w:rFonts w:hint="eastAsia"/>
          <w:sz w:val="28"/>
          <w:szCs w:val="28"/>
        </w:rPr>
        <w:t>投资</w:t>
      </w:r>
      <w:r>
        <w:rPr>
          <w:rFonts w:hint="eastAsia"/>
          <w:sz w:val="28"/>
          <w:szCs w:val="28"/>
        </w:rPr>
        <w:t>383.90</w:t>
      </w:r>
      <w:r>
        <w:rPr>
          <w:rFonts w:hint="eastAsia"/>
          <w:sz w:val="28"/>
          <w:szCs w:val="28"/>
        </w:rPr>
        <w:t>亿元</w:t>
      </w:r>
      <w:r>
        <w:rPr>
          <w:sz w:val="28"/>
          <w:szCs w:val="28"/>
        </w:rPr>
        <w:t>，同比下降</w:t>
      </w:r>
      <w:r>
        <w:rPr>
          <w:rFonts w:hint="eastAsia"/>
          <w:sz w:val="28"/>
          <w:szCs w:val="28"/>
        </w:rPr>
        <w:t>0.6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。第三产业</w:t>
      </w:r>
      <w:r>
        <w:rPr>
          <w:rFonts w:hint="eastAsia"/>
          <w:sz w:val="28"/>
          <w:szCs w:val="28"/>
        </w:rPr>
        <w:t>完成</w:t>
      </w:r>
      <w:r>
        <w:rPr>
          <w:sz w:val="28"/>
          <w:szCs w:val="28"/>
        </w:rPr>
        <w:t>投资</w:t>
      </w:r>
      <w:r>
        <w:rPr>
          <w:rFonts w:hint="eastAsia"/>
          <w:sz w:val="28"/>
          <w:szCs w:val="28"/>
        </w:rPr>
        <w:t>912.03</w:t>
      </w:r>
      <w:r>
        <w:rPr>
          <w:sz w:val="28"/>
          <w:szCs w:val="28"/>
        </w:rPr>
        <w:t>亿元，同比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24.3</w:t>
      </w:r>
      <w:r>
        <w:rPr>
          <w:sz w:val="28"/>
          <w:szCs w:val="28"/>
        </w:rPr>
        <w:t>%</w:t>
      </w:r>
      <w:r>
        <w:rPr>
          <w:sz w:val="28"/>
          <w:szCs w:val="28"/>
        </w:rPr>
        <w:t>，其中房地产开发投资</w:t>
      </w:r>
      <w:r>
        <w:rPr>
          <w:rFonts w:hint="eastAsia"/>
          <w:sz w:val="28"/>
          <w:szCs w:val="28"/>
        </w:rPr>
        <w:t>606.78</w:t>
      </w:r>
      <w:r>
        <w:rPr>
          <w:rFonts w:hint="eastAsia"/>
          <w:sz w:val="28"/>
          <w:szCs w:val="28"/>
        </w:rPr>
        <w:t>亿元</w:t>
      </w:r>
      <w:r>
        <w:rPr>
          <w:sz w:val="28"/>
          <w:szCs w:val="28"/>
        </w:rPr>
        <w:t>，同比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25.7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三、消费品市场</w:t>
      </w:r>
    </w:p>
    <w:p w:rsidR="00947809" w:rsidRDefault="00C72A78">
      <w:pPr>
        <w:snapToGrid w:val="0"/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1-5</w:t>
      </w:r>
      <w:r>
        <w:rPr>
          <w:rFonts w:hint="eastAsia"/>
          <w:sz w:val="28"/>
          <w:szCs w:val="28"/>
        </w:rPr>
        <w:t>月，全市实现社会消费品零售总额</w:t>
      </w:r>
      <w:r>
        <w:rPr>
          <w:rFonts w:hint="eastAsia"/>
          <w:sz w:val="28"/>
          <w:szCs w:val="28"/>
        </w:rPr>
        <w:t>1395.07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29.6%</w:t>
      </w:r>
      <w:r>
        <w:rPr>
          <w:rFonts w:hint="eastAsia"/>
          <w:sz w:val="28"/>
          <w:szCs w:val="28"/>
        </w:rPr>
        <w:t>。从大类商品限上零售额来看，金银珠宝类，服装、鞋帽、针纺织品类，化妆品类，通讯器材类，粮油、食品类</w:t>
      </w:r>
      <w:r>
        <w:rPr>
          <w:sz w:val="28"/>
          <w:szCs w:val="28"/>
        </w:rPr>
        <w:t>表现突出</w:t>
      </w:r>
      <w:r>
        <w:rPr>
          <w:rFonts w:hint="eastAsia"/>
          <w:sz w:val="28"/>
          <w:szCs w:val="28"/>
        </w:rPr>
        <w:t>，同比分别</w:t>
      </w:r>
      <w:r>
        <w:rPr>
          <w:sz w:val="28"/>
          <w:szCs w:val="28"/>
        </w:rPr>
        <w:t>增长</w:t>
      </w:r>
      <w:r>
        <w:rPr>
          <w:rFonts w:hint="eastAsia"/>
          <w:sz w:val="28"/>
          <w:szCs w:val="28"/>
        </w:rPr>
        <w:t>116.2%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69.6%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48.2%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46.5%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42.1%</w:t>
      </w:r>
      <w:r>
        <w:rPr>
          <w:rFonts w:hint="eastAsia"/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四、对外贸易</w:t>
      </w:r>
    </w:p>
    <w:p w:rsidR="00947809" w:rsidRDefault="00C72A78">
      <w:pPr>
        <w:snapToGrid w:val="0"/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1-5</w:t>
      </w:r>
      <w:r>
        <w:rPr>
          <w:rFonts w:hint="eastAsia"/>
          <w:sz w:val="28"/>
          <w:szCs w:val="28"/>
        </w:rPr>
        <w:t>月，</w:t>
      </w:r>
      <w:r>
        <w:rPr>
          <w:sz w:val="28"/>
          <w:szCs w:val="28"/>
        </w:rPr>
        <w:t>全市实现进出口总</w:t>
      </w:r>
      <w:r>
        <w:rPr>
          <w:rFonts w:hint="eastAsia"/>
          <w:sz w:val="28"/>
          <w:szCs w:val="28"/>
        </w:rPr>
        <w:t>值</w:t>
      </w:r>
      <w:r>
        <w:rPr>
          <w:rFonts w:hint="eastAsia"/>
          <w:sz w:val="28"/>
          <w:szCs w:val="28"/>
        </w:rPr>
        <w:t>400.63</w:t>
      </w:r>
      <w:r>
        <w:rPr>
          <w:rFonts w:hint="eastAsia"/>
          <w:sz w:val="28"/>
          <w:szCs w:val="28"/>
        </w:rPr>
        <w:t>亿美元，同比增长</w:t>
      </w:r>
      <w:r>
        <w:rPr>
          <w:rFonts w:hint="eastAsia"/>
          <w:sz w:val="28"/>
          <w:szCs w:val="28"/>
        </w:rPr>
        <w:t>17.4%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其中出</w:t>
      </w:r>
      <w:r>
        <w:rPr>
          <w:sz w:val="28"/>
          <w:szCs w:val="28"/>
        </w:rPr>
        <w:lastRenderedPageBreak/>
        <w:t>口总</w:t>
      </w:r>
      <w:r>
        <w:rPr>
          <w:rFonts w:hint="eastAsia"/>
          <w:sz w:val="28"/>
          <w:szCs w:val="28"/>
        </w:rPr>
        <w:t>值</w:t>
      </w:r>
      <w:r>
        <w:rPr>
          <w:rFonts w:hint="eastAsia"/>
          <w:sz w:val="28"/>
          <w:szCs w:val="28"/>
        </w:rPr>
        <w:t>241.87</w:t>
      </w:r>
      <w:r>
        <w:rPr>
          <w:rFonts w:hint="eastAsia"/>
          <w:sz w:val="28"/>
          <w:szCs w:val="28"/>
        </w:rPr>
        <w:t>亿美元，同比增长</w:t>
      </w:r>
      <w:r>
        <w:rPr>
          <w:rFonts w:hint="eastAsia"/>
          <w:sz w:val="28"/>
          <w:szCs w:val="28"/>
        </w:rPr>
        <w:t>21.1%</w:t>
      </w:r>
      <w:r>
        <w:rPr>
          <w:rFonts w:hint="eastAsia"/>
          <w:sz w:val="28"/>
          <w:szCs w:val="28"/>
        </w:rPr>
        <w:t>；进口</w:t>
      </w:r>
      <w:r>
        <w:rPr>
          <w:sz w:val="28"/>
          <w:szCs w:val="28"/>
        </w:rPr>
        <w:t>总</w:t>
      </w:r>
      <w:r>
        <w:rPr>
          <w:rFonts w:hint="eastAsia"/>
          <w:sz w:val="28"/>
          <w:szCs w:val="28"/>
        </w:rPr>
        <w:t>值</w:t>
      </w:r>
      <w:r>
        <w:rPr>
          <w:rFonts w:hint="eastAsia"/>
          <w:sz w:val="28"/>
          <w:szCs w:val="28"/>
        </w:rPr>
        <w:t>158.76</w:t>
      </w:r>
      <w:r>
        <w:rPr>
          <w:rFonts w:hint="eastAsia"/>
          <w:sz w:val="28"/>
          <w:szCs w:val="28"/>
        </w:rPr>
        <w:t>亿美元，同比增长</w:t>
      </w:r>
      <w:r>
        <w:rPr>
          <w:rFonts w:hint="eastAsia"/>
          <w:sz w:val="28"/>
          <w:szCs w:val="28"/>
        </w:rPr>
        <w:t>12.3%</w:t>
      </w:r>
      <w:r>
        <w:rPr>
          <w:sz w:val="28"/>
          <w:szCs w:val="28"/>
        </w:rPr>
        <w:t>。以人民币计进出口、出口、进口总</w:t>
      </w:r>
      <w:r>
        <w:rPr>
          <w:rFonts w:hint="eastAsia"/>
          <w:sz w:val="28"/>
          <w:szCs w:val="28"/>
        </w:rPr>
        <w:t>值</w:t>
      </w:r>
      <w:r>
        <w:rPr>
          <w:sz w:val="28"/>
          <w:szCs w:val="28"/>
        </w:rPr>
        <w:t>同比分别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9.0</w:t>
      </w:r>
      <w:r>
        <w:rPr>
          <w:sz w:val="28"/>
          <w:szCs w:val="28"/>
        </w:rPr>
        <w:t>%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12.3</w:t>
      </w:r>
      <w:r>
        <w:rPr>
          <w:sz w:val="28"/>
          <w:szCs w:val="28"/>
        </w:rPr>
        <w:t>%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4.4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从贸易方式看，全市一般贸易出口</w:t>
      </w:r>
      <w:r>
        <w:rPr>
          <w:rFonts w:hint="eastAsia"/>
          <w:sz w:val="28"/>
          <w:szCs w:val="28"/>
        </w:rPr>
        <w:t>144.80</w:t>
      </w:r>
      <w:r>
        <w:rPr>
          <w:sz w:val="28"/>
          <w:szCs w:val="28"/>
        </w:rPr>
        <w:t>亿美元，同比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36.9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加工贸易出口</w:t>
      </w:r>
      <w:r>
        <w:rPr>
          <w:rFonts w:hint="eastAsia"/>
          <w:sz w:val="28"/>
          <w:szCs w:val="28"/>
        </w:rPr>
        <w:t>值</w:t>
      </w:r>
      <w:r>
        <w:rPr>
          <w:rFonts w:hint="eastAsia"/>
          <w:sz w:val="28"/>
          <w:szCs w:val="28"/>
        </w:rPr>
        <w:t>80.99</w:t>
      </w:r>
      <w:r>
        <w:rPr>
          <w:sz w:val="28"/>
          <w:szCs w:val="28"/>
        </w:rPr>
        <w:t>亿美元，同比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1.7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五、财政金融</w:t>
      </w:r>
    </w:p>
    <w:p w:rsidR="00947809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1-5</w:t>
      </w:r>
      <w:r>
        <w:rPr>
          <w:rFonts w:hint="eastAsia"/>
          <w:sz w:val="28"/>
          <w:szCs w:val="28"/>
        </w:rPr>
        <w:t>月，</w:t>
      </w:r>
      <w:r>
        <w:rPr>
          <w:sz w:val="28"/>
          <w:szCs w:val="28"/>
        </w:rPr>
        <w:t>全市实现一般公共预算收入</w:t>
      </w:r>
      <w:r>
        <w:rPr>
          <w:rFonts w:hint="eastAsia"/>
          <w:sz w:val="28"/>
          <w:szCs w:val="28"/>
        </w:rPr>
        <w:t>516.26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22.6%</w:t>
      </w:r>
      <w:r>
        <w:rPr>
          <w:sz w:val="28"/>
          <w:szCs w:val="28"/>
        </w:rPr>
        <w:t>，其中税收收入</w:t>
      </w:r>
      <w:r>
        <w:rPr>
          <w:rFonts w:hint="eastAsia"/>
          <w:sz w:val="28"/>
          <w:szCs w:val="28"/>
        </w:rPr>
        <w:t>460.63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25.2%</w:t>
      </w:r>
      <w:r>
        <w:rPr>
          <w:sz w:val="28"/>
          <w:szCs w:val="28"/>
        </w:rPr>
        <w:t>。从主要税种看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增值税</w:t>
      </w:r>
      <w:r>
        <w:rPr>
          <w:rFonts w:hint="eastAsia"/>
          <w:sz w:val="28"/>
          <w:szCs w:val="28"/>
        </w:rPr>
        <w:t>188.99</w:t>
      </w:r>
      <w:r>
        <w:rPr>
          <w:sz w:val="28"/>
          <w:szCs w:val="28"/>
        </w:rPr>
        <w:t>亿元，同比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17.3</w:t>
      </w:r>
      <w:r>
        <w:rPr>
          <w:sz w:val="28"/>
          <w:szCs w:val="28"/>
        </w:rPr>
        <w:t>%</w:t>
      </w:r>
      <w:r>
        <w:rPr>
          <w:sz w:val="28"/>
          <w:szCs w:val="28"/>
        </w:rPr>
        <w:t>；企业所得税</w:t>
      </w:r>
      <w:r>
        <w:rPr>
          <w:rFonts w:hint="eastAsia"/>
          <w:sz w:val="28"/>
          <w:szCs w:val="28"/>
        </w:rPr>
        <w:t>95.90</w:t>
      </w:r>
      <w:r>
        <w:rPr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33.2</w:t>
      </w:r>
      <w:r>
        <w:rPr>
          <w:sz w:val="28"/>
          <w:szCs w:val="28"/>
        </w:rPr>
        <w:t>%</w:t>
      </w:r>
      <w:r>
        <w:rPr>
          <w:sz w:val="28"/>
          <w:szCs w:val="28"/>
        </w:rPr>
        <w:t>；</w:t>
      </w:r>
      <w:r>
        <w:rPr>
          <w:rFonts w:hint="eastAsia"/>
          <w:sz w:val="28"/>
          <w:szCs w:val="28"/>
        </w:rPr>
        <w:t>契税</w:t>
      </w:r>
      <w:r>
        <w:rPr>
          <w:rFonts w:hint="eastAsia"/>
          <w:sz w:val="28"/>
          <w:szCs w:val="28"/>
        </w:rPr>
        <w:t>45.97</w:t>
      </w:r>
      <w:r>
        <w:rPr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80.3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截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月末，全市金融机构</w:t>
      </w:r>
      <w:r>
        <w:rPr>
          <w:rFonts w:hint="eastAsia"/>
          <w:sz w:val="28"/>
          <w:szCs w:val="28"/>
        </w:rPr>
        <w:t>人民币</w:t>
      </w:r>
      <w:r>
        <w:rPr>
          <w:sz w:val="28"/>
          <w:szCs w:val="28"/>
        </w:rPr>
        <w:t>存款余额为</w:t>
      </w:r>
      <w:r>
        <w:rPr>
          <w:rFonts w:hint="eastAsia"/>
          <w:sz w:val="28"/>
          <w:szCs w:val="28"/>
        </w:rPr>
        <w:t>20173.06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8.5%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金融机构</w:t>
      </w:r>
      <w:r>
        <w:rPr>
          <w:rFonts w:hint="eastAsia"/>
          <w:sz w:val="28"/>
          <w:szCs w:val="28"/>
        </w:rPr>
        <w:t>人民币</w:t>
      </w:r>
      <w:r>
        <w:rPr>
          <w:sz w:val="28"/>
          <w:szCs w:val="28"/>
        </w:rPr>
        <w:t>贷款余额为</w:t>
      </w:r>
      <w:r>
        <w:rPr>
          <w:rFonts w:hint="eastAsia"/>
          <w:sz w:val="28"/>
          <w:szCs w:val="28"/>
        </w:rPr>
        <w:t>16400.53</w:t>
      </w:r>
      <w:r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13.7%</w:t>
      </w:r>
      <w:r>
        <w:rPr>
          <w:rFonts w:hint="eastAsia"/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六、市场物价</w:t>
      </w:r>
    </w:p>
    <w:p w:rsidR="00947809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1-5</w:t>
      </w:r>
      <w:r>
        <w:rPr>
          <w:rFonts w:hint="eastAsia"/>
          <w:sz w:val="28"/>
          <w:szCs w:val="28"/>
        </w:rPr>
        <w:t>月，</w:t>
      </w:r>
      <w:r>
        <w:rPr>
          <w:sz w:val="28"/>
          <w:szCs w:val="28"/>
        </w:rPr>
        <w:t>居民消费价格总水平（</w:t>
      </w:r>
      <w:r>
        <w:rPr>
          <w:sz w:val="28"/>
          <w:szCs w:val="28"/>
        </w:rPr>
        <w:t>CPI</w:t>
      </w:r>
      <w:r>
        <w:rPr>
          <w:sz w:val="28"/>
          <w:szCs w:val="28"/>
        </w:rPr>
        <w:t>）为</w:t>
      </w:r>
      <w:r>
        <w:rPr>
          <w:sz w:val="28"/>
          <w:szCs w:val="28"/>
        </w:rPr>
        <w:t>100.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，市场物价上涨</w:t>
      </w:r>
      <w:r>
        <w:rPr>
          <w:sz w:val="28"/>
          <w:szCs w:val="28"/>
        </w:rPr>
        <w:t>0.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。从调查的八大类商品和服务价格来看，与上年同期相比，呈现出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七</w:t>
      </w:r>
      <w:r>
        <w:rPr>
          <w:sz w:val="28"/>
          <w:szCs w:val="28"/>
        </w:rPr>
        <w:t>升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降</w:t>
      </w:r>
      <w:r>
        <w:rPr>
          <w:sz w:val="28"/>
          <w:szCs w:val="28"/>
        </w:rPr>
        <w:t>”</w:t>
      </w:r>
      <w:r>
        <w:rPr>
          <w:sz w:val="28"/>
          <w:szCs w:val="28"/>
        </w:rPr>
        <w:t>格局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上涨的</w:t>
      </w:r>
      <w:r>
        <w:rPr>
          <w:rFonts w:hint="eastAsia"/>
          <w:sz w:val="28"/>
          <w:szCs w:val="28"/>
        </w:rPr>
        <w:t>七</w:t>
      </w:r>
      <w:r>
        <w:rPr>
          <w:sz w:val="28"/>
          <w:szCs w:val="28"/>
        </w:rPr>
        <w:t>大类中，</w:t>
      </w:r>
      <w:r>
        <w:rPr>
          <w:rFonts w:hint="eastAsia"/>
          <w:sz w:val="28"/>
          <w:szCs w:val="28"/>
        </w:rPr>
        <w:t>指数</w:t>
      </w:r>
      <w:r>
        <w:rPr>
          <w:sz w:val="28"/>
          <w:szCs w:val="28"/>
        </w:rPr>
        <w:t>涨幅较高的是教育文化和娱乐类，</w:t>
      </w:r>
      <w:r>
        <w:rPr>
          <w:rFonts w:hint="eastAsia"/>
          <w:sz w:val="28"/>
          <w:szCs w:val="28"/>
        </w:rPr>
        <w:t>上涨</w:t>
      </w:r>
      <w:r>
        <w:rPr>
          <w:rFonts w:hint="eastAsia"/>
          <w:sz w:val="28"/>
          <w:szCs w:val="28"/>
        </w:rPr>
        <w:t>2.0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食品烟酒类</w:t>
      </w:r>
      <w:r>
        <w:rPr>
          <w:rFonts w:hint="eastAsia"/>
          <w:sz w:val="28"/>
          <w:szCs w:val="28"/>
        </w:rPr>
        <w:t>上涨</w:t>
      </w:r>
      <w:r>
        <w:rPr>
          <w:rFonts w:hint="eastAsia"/>
          <w:sz w:val="28"/>
          <w:szCs w:val="28"/>
        </w:rPr>
        <w:t>1.2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居住类上涨</w:t>
      </w:r>
      <w:r>
        <w:rPr>
          <w:rFonts w:hint="eastAsia"/>
          <w:sz w:val="28"/>
          <w:szCs w:val="28"/>
        </w:rPr>
        <w:t>1.1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交通和通信类</w:t>
      </w:r>
      <w:r>
        <w:rPr>
          <w:rFonts w:hint="eastAsia"/>
          <w:sz w:val="28"/>
          <w:szCs w:val="28"/>
        </w:rPr>
        <w:t>上涨</w:t>
      </w:r>
      <w:r>
        <w:rPr>
          <w:rFonts w:hint="eastAsia"/>
          <w:sz w:val="28"/>
          <w:szCs w:val="28"/>
        </w:rPr>
        <w:t>0.7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；医疗保健类、</w:t>
      </w:r>
      <w:r>
        <w:rPr>
          <w:sz w:val="28"/>
          <w:szCs w:val="28"/>
        </w:rPr>
        <w:t>其他用品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服务</w:t>
      </w:r>
      <w:r>
        <w:rPr>
          <w:rFonts w:hint="eastAsia"/>
          <w:sz w:val="28"/>
          <w:szCs w:val="28"/>
        </w:rPr>
        <w:t>类均</w:t>
      </w:r>
      <w:r>
        <w:rPr>
          <w:sz w:val="28"/>
          <w:szCs w:val="28"/>
        </w:rPr>
        <w:t>上涨</w:t>
      </w:r>
      <w:r>
        <w:rPr>
          <w:rFonts w:hint="eastAsia"/>
          <w:sz w:val="28"/>
          <w:szCs w:val="28"/>
        </w:rPr>
        <w:t>0.6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生活用品及服务类上涨</w:t>
      </w:r>
      <w:r>
        <w:rPr>
          <w:sz w:val="28"/>
          <w:szCs w:val="28"/>
        </w:rPr>
        <w:t>0.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bookmarkStart w:id="0" w:name="_GoBack"/>
      <w:bookmarkEnd w:id="0"/>
      <w:r>
        <w:rPr>
          <w:sz w:val="28"/>
          <w:szCs w:val="28"/>
        </w:rPr>
        <w:t>衣着类</w:t>
      </w:r>
      <w:r>
        <w:rPr>
          <w:rFonts w:hint="eastAsia"/>
          <w:sz w:val="28"/>
          <w:szCs w:val="28"/>
        </w:rPr>
        <w:t>则</w:t>
      </w:r>
      <w:r>
        <w:rPr>
          <w:sz w:val="28"/>
          <w:szCs w:val="28"/>
        </w:rPr>
        <w:t>下降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p w:rsidR="00947809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七、电力消耗</w:t>
      </w:r>
    </w:p>
    <w:p w:rsidR="00947809" w:rsidRDefault="00C72A78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1-5</w:t>
      </w:r>
      <w:r>
        <w:rPr>
          <w:rFonts w:hint="eastAsia"/>
          <w:sz w:val="28"/>
          <w:szCs w:val="28"/>
        </w:rPr>
        <w:t>月，</w:t>
      </w:r>
      <w:r>
        <w:rPr>
          <w:sz w:val="28"/>
          <w:szCs w:val="28"/>
        </w:rPr>
        <w:t>全市实现全社会用电量</w:t>
      </w:r>
      <w:r>
        <w:rPr>
          <w:rFonts w:hint="eastAsia"/>
          <w:sz w:val="28"/>
          <w:szCs w:val="28"/>
        </w:rPr>
        <w:t>322.60</w:t>
      </w:r>
      <w:r>
        <w:rPr>
          <w:sz w:val="28"/>
          <w:szCs w:val="28"/>
        </w:rPr>
        <w:t>亿千瓦时，同比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21.4</w:t>
      </w:r>
      <w:r>
        <w:rPr>
          <w:sz w:val="28"/>
          <w:szCs w:val="28"/>
        </w:rPr>
        <w:t>%</w:t>
      </w:r>
      <w:r>
        <w:rPr>
          <w:sz w:val="28"/>
          <w:szCs w:val="28"/>
        </w:rPr>
        <w:t>，其中工业用电量为</w:t>
      </w:r>
      <w:r>
        <w:rPr>
          <w:rFonts w:hint="eastAsia"/>
          <w:sz w:val="28"/>
          <w:szCs w:val="28"/>
        </w:rPr>
        <w:t>240.84</w:t>
      </w:r>
      <w:r>
        <w:rPr>
          <w:sz w:val="28"/>
          <w:szCs w:val="28"/>
        </w:rPr>
        <w:t>亿千瓦时，同比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21.9</w:t>
      </w:r>
      <w:r>
        <w:rPr>
          <w:sz w:val="28"/>
          <w:szCs w:val="28"/>
        </w:rPr>
        <w:t>%</w:t>
      </w:r>
      <w:r>
        <w:rPr>
          <w:sz w:val="28"/>
          <w:szCs w:val="28"/>
        </w:rPr>
        <w:t>。</w:t>
      </w:r>
    </w:p>
    <w:sectPr w:rsidR="00947809" w:rsidSect="00947809">
      <w:headerReference w:type="default" r:id="rId8"/>
      <w:footerReference w:type="default" r:id="rId9"/>
      <w:pgSz w:w="11906" w:h="16838"/>
      <w:pgMar w:top="1560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009" w:rsidRDefault="00B95009" w:rsidP="00947809">
      <w:r>
        <w:separator/>
      </w:r>
    </w:p>
  </w:endnote>
  <w:endnote w:type="continuationSeparator" w:id="1">
    <w:p w:rsidR="00B95009" w:rsidRDefault="00B95009" w:rsidP="0094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09" w:rsidRDefault="00547C00">
    <w:pPr>
      <w:pStyle w:val="a5"/>
      <w:jc w:val="center"/>
    </w:pPr>
    <w:r>
      <w:fldChar w:fldCharType="begin"/>
    </w:r>
    <w:r w:rsidR="00C72A78">
      <w:rPr>
        <w:rStyle w:val="a8"/>
      </w:rPr>
      <w:instrText xml:space="preserve"> PAGE </w:instrText>
    </w:r>
    <w:r>
      <w:fldChar w:fldCharType="separate"/>
    </w:r>
    <w:r w:rsidR="009F29EC">
      <w:rPr>
        <w:rStyle w:val="a8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009" w:rsidRDefault="00B95009" w:rsidP="00947809">
      <w:r>
        <w:separator/>
      </w:r>
    </w:p>
  </w:footnote>
  <w:footnote w:type="continuationSeparator" w:id="1">
    <w:p w:rsidR="00B95009" w:rsidRDefault="00B95009" w:rsidP="00947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09" w:rsidRDefault="0094780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1D4"/>
    <w:rsid w:val="00006D2E"/>
    <w:rsid w:val="00014D4D"/>
    <w:rsid w:val="000241F5"/>
    <w:rsid w:val="0003186C"/>
    <w:rsid w:val="00031F70"/>
    <w:rsid w:val="00043FA9"/>
    <w:rsid w:val="00051C24"/>
    <w:rsid w:val="000523A3"/>
    <w:rsid w:val="00054445"/>
    <w:rsid w:val="00065842"/>
    <w:rsid w:val="00065C98"/>
    <w:rsid w:val="00066C62"/>
    <w:rsid w:val="00066F25"/>
    <w:rsid w:val="00072715"/>
    <w:rsid w:val="000737AF"/>
    <w:rsid w:val="0008036E"/>
    <w:rsid w:val="00083F09"/>
    <w:rsid w:val="000841F7"/>
    <w:rsid w:val="00087B7F"/>
    <w:rsid w:val="0009450F"/>
    <w:rsid w:val="0009489E"/>
    <w:rsid w:val="00096B22"/>
    <w:rsid w:val="000A3F4E"/>
    <w:rsid w:val="000B7919"/>
    <w:rsid w:val="000C00BB"/>
    <w:rsid w:val="000C0334"/>
    <w:rsid w:val="000C50DA"/>
    <w:rsid w:val="000C5358"/>
    <w:rsid w:val="000C609B"/>
    <w:rsid w:val="000C7C5F"/>
    <w:rsid w:val="000C7EFE"/>
    <w:rsid w:val="000D22E9"/>
    <w:rsid w:val="000F0444"/>
    <w:rsid w:val="000F372F"/>
    <w:rsid w:val="000F3EC1"/>
    <w:rsid w:val="000F6E3B"/>
    <w:rsid w:val="001073B7"/>
    <w:rsid w:val="00111A65"/>
    <w:rsid w:val="00123491"/>
    <w:rsid w:val="001317E7"/>
    <w:rsid w:val="00132F58"/>
    <w:rsid w:val="00133977"/>
    <w:rsid w:val="00133FC1"/>
    <w:rsid w:val="001347BE"/>
    <w:rsid w:val="0013518B"/>
    <w:rsid w:val="00141DBB"/>
    <w:rsid w:val="00157164"/>
    <w:rsid w:val="00157244"/>
    <w:rsid w:val="001626A5"/>
    <w:rsid w:val="001633B2"/>
    <w:rsid w:val="00167FF2"/>
    <w:rsid w:val="00172A27"/>
    <w:rsid w:val="001758F1"/>
    <w:rsid w:val="00177120"/>
    <w:rsid w:val="001829D1"/>
    <w:rsid w:val="00187E26"/>
    <w:rsid w:val="00191908"/>
    <w:rsid w:val="001A03FB"/>
    <w:rsid w:val="001A0BA3"/>
    <w:rsid w:val="001B3374"/>
    <w:rsid w:val="001B3BF9"/>
    <w:rsid w:val="001C0DC1"/>
    <w:rsid w:val="001C3191"/>
    <w:rsid w:val="001C403F"/>
    <w:rsid w:val="001C61D4"/>
    <w:rsid w:val="001D216D"/>
    <w:rsid w:val="001D5F04"/>
    <w:rsid w:val="001F0E7C"/>
    <w:rsid w:val="001F3202"/>
    <w:rsid w:val="001F4E52"/>
    <w:rsid w:val="001F4FB6"/>
    <w:rsid w:val="001F6F5D"/>
    <w:rsid w:val="00201FA5"/>
    <w:rsid w:val="002025E0"/>
    <w:rsid w:val="002120A5"/>
    <w:rsid w:val="002171E1"/>
    <w:rsid w:val="00217651"/>
    <w:rsid w:val="00222D5A"/>
    <w:rsid w:val="00225249"/>
    <w:rsid w:val="0023697D"/>
    <w:rsid w:val="00236C9E"/>
    <w:rsid w:val="00237398"/>
    <w:rsid w:val="00243E7C"/>
    <w:rsid w:val="00246EA3"/>
    <w:rsid w:val="0025307C"/>
    <w:rsid w:val="002535C2"/>
    <w:rsid w:val="0026047F"/>
    <w:rsid w:val="00261E7E"/>
    <w:rsid w:val="00262661"/>
    <w:rsid w:val="002658DD"/>
    <w:rsid w:val="002700D3"/>
    <w:rsid w:val="00274882"/>
    <w:rsid w:val="002803E9"/>
    <w:rsid w:val="002858EB"/>
    <w:rsid w:val="002873D2"/>
    <w:rsid w:val="00287C7E"/>
    <w:rsid w:val="00295984"/>
    <w:rsid w:val="002A5D6D"/>
    <w:rsid w:val="002B178B"/>
    <w:rsid w:val="002B1A60"/>
    <w:rsid w:val="002C04A7"/>
    <w:rsid w:val="002C1635"/>
    <w:rsid w:val="002C1AF3"/>
    <w:rsid w:val="002D16E9"/>
    <w:rsid w:val="002E326A"/>
    <w:rsid w:val="002E39A5"/>
    <w:rsid w:val="002E3B09"/>
    <w:rsid w:val="002E72CF"/>
    <w:rsid w:val="002F702C"/>
    <w:rsid w:val="003136D2"/>
    <w:rsid w:val="003205DE"/>
    <w:rsid w:val="00334CB5"/>
    <w:rsid w:val="003360CA"/>
    <w:rsid w:val="00336FB8"/>
    <w:rsid w:val="00340AC7"/>
    <w:rsid w:val="00344B78"/>
    <w:rsid w:val="00375A09"/>
    <w:rsid w:val="00375DD9"/>
    <w:rsid w:val="00376D51"/>
    <w:rsid w:val="00377E0A"/>
    <w:rsid w:val="00381462"/>
    <w:rsid w:val="00383913"/>
    <w:rsid w:val="0038559A"/>
    <w:rsid w:val="00390900"/>
    <w:rsid w:val="00394548"/>
    <w:rsid w:val="003A0A1B"/>
    <w:rsid w:val="003A0A69"/>
    <w:rsid w:val="003A1B18"/>
    <w:rsid w:val="003B6236"/>
    <w:rsid w:val="003B6B84"/>
    <w:rsid w:val="003E056A"/>
    <w:rsid w:val="003F03AF"/>
    <w:rsid w:val="00402A13"/>
    <w:rsid w:val="00414581"/>
    <w:rsid w:val="00420821"/>
    <w:rsid w:val="00421109"/>
    <w:rsid w:val="004223BC"/>
    <w:rsid w:val="004227B7"/>
    <w:rsid w:val="00423BB7"/>
    <w:rsid w:val="00431041"/>
    <w:rsid w:val="0043166E"/>
    <w:rsid w:val="00433B2C"/>
    <w:rsid w:val="0043507B"/>
    <w:rsid w:val="0043516C"/>
    <w:rsid w:val="00441202"/>
    <w:rsid w:val="004423F1"/>
    <w:rsid w:val="00443BAB"/>
    <w:rsid w:val="00446BCC"/>
    <w:rsid w:val="00450B37"/>
    <w:rsid w:val="0045407A"/>
    <w:rsid w:val="0046607D"/>
    <w:rsid w:val="00471F5E"/>
    <w:rsid w:val="004741AE"/>
    <w:rsid w:val="004775DF"/>
    <w:rsid w:val="0048169F"/>
    <w:rsid w:val="00485909"/>
    <w:rsid w:val="00491DCD"/>
    <w:rsid w:val="00492B84"/>
    <w:rsid w:val="00493092"/>
    <w:rsid w:val="0049362E"/>
    <w:rsid w:val="00496C82"/>
    <w:rsid w:val="00497222"/>
    <w:rsid w:val="004A2609"/>
    <w:rsid w:val="004A2F3E"/>
    <w:rsid w:val="004B128D"/>
    <w:rsid w:val="004B1F8F"/>
    <w:rsid w:val="004C140B"/>
    <w:rsid w:val="004D07E0"/>
    <w:rsid w:val="004D70C1"/>
    <w:rsid w:val="004E3DA1"/>
    <w:rsid w:val="004E4DED"/>
    <w:rsid w:val="004E5B75"/>
    <w:rsid w:val="004F2202"/>
    <w:rsid w:val="004F26BC"/>
    <w:rsid w:val="004F31CD"/>
    <w:rsid w:val="004F5802"/>
    <w:rsid w:val="00500D37"/>
    <w:rsid w:val="00510734"/>
    <w:rsid w:val="0052081D"/>
    <w:rsid w:val="00523CAA"/>
    <w:rsid w:val="0053232B"/>
    <w:rsid w:val="00547C00"/>
    <w:rsid w:val="00547DD7"/>
    <w:rsid w:val="00550474"/>
    <w:rsid w:val="00555058"/>
    <w:rsid w:val="00555289"/>
    <w:rsid w:val="00561045"/>
    <w:rsid w:val="00561C12"/>
    <w:rsid w:val="00566879"/>
    <w:rsid w:val="00566EC1"/>
    <w:rsid w:val="005807CB"/>
    <w:rsid w:val="005830CB"/>
    <w:rsid w:val="00586350"/>
    <w:rsid w:val="005870E6"/>
    <w:rsid w:val="005A7D0A"/>
    <w:rsid w:val="005C18A8"/>
    <w:rsid w:val="005D1027"/>
    <w:rsid w:val="005E1542"/>
    <w:rsid w:val="005E5890"/>
    <w:rsid w:val="005E6EBA"/>
    <w:rsid w:val="005F60C1"/>
    <w:rsid w:val="005F704B"/>
    <w:rsid w:val="00603173"/>
    <w:rsid w:val="006077D7"/>
    <w:rsid w:val="00612150"/>
    <w:rsid w:val="00633711"/>
    <w:rsid w:val="006373E3"/>
    <w:rsid w:val="00651D22"/>
    <w:rsid w:val="00653789"/>
    <w:rsid w:val="00655D81"/>
    <w:rsid w:val="00657C3A"/>
    <w:rsid w:val="00660808"/>
    <w:rsid w:val="0066719A"/>
    <w:rsid w:val="00670F19"/>
    <w:rsid w:val="00674144"/>
    <w:rsid w:val="00674496"/>
    <w:rsid w:val="00674FE1"/>
    <w:rsid w:val="00685638"/>
    <w:rsid w:val="00697E0A"/>
    <w:rsid w:val="006A136F"/>
    <w:rsid w:val="006A2673"/>
    <w:rsid w:val="006A4553"/>
    <w:rsid w:val="006A5E79"/>
    <w:rsid w:val="006A71BC"/>
    <w:rsid w:val="006B3028"/>
    <w:rsid w:val="006B4C68"/>
    <w:rsid w:val="006C27A3"/>
    <w:rsid w:val="006C337B"/>
    <w:rsid w:val="006D3302"/>
    <w:rsid w:val="006E3DAE"/>
    <w:rsid w:val="006E56FE"/>
    <w:rsid w:val="006E6C7B"/>
    <w:rsid w:val="006F0182"/>
    <w:rsid w:val="006F08DF"/>
    <w:rsid w:val="006F114B"/>
    <w:rsid w:val="006F2CEC"/>
    <w:rsid w:val="00706AAB"/>
    <w:rsid w:val="00706BEF"/>
    <w:rsid w:val="00707461"/>
    <w:rsid w:val="007111D3"/>
    <w:rsid w:val="00715BC8"/>
    <w:rsid w:val="00716A3A"/>
    <w:rsid w:val="0073119D"/>
    <w:rsid w:val="007327F3"/>
    <w:rsid w:val="00744886"/>
    <w:rsid w:val="00745361"/>
    <w:rsid w:val="00754A7A"/>
    <w:rsid w:val="00755B56"/>
    <w:rsid w:val="007579D6"/>
    <w:rsid w:val="00761D72"/>
    <w:rsid w:val="007640D9"/>
    <w:rsid w:val="00771838"/>
    <w:rsid w:val="007744EE"/>
    <w:rsid w:val="007775BD"/>
    <w:rsid w:val="007809E7"/>
    <w:rsid w:val="0078433D"/>
    <w:rsid w:val="00786DD5"/>
    <w:rsid w:val="00787AE5"/>
    <w:rsid w:val="00790060"/>
    <w:rsid w:val="0079092D"/>
    <w:rsid w:val="0079266F"/>
    <w:rsid w:val="00793528"/>
    <w:rsid w:val="007B2F34"/>
    <w:rsid w:val="007D4D37"/>
    <w:rsid w:val="007D635B"/>
    <w:rsid w:val="007D7588"/>
    <w:rsid w:val="007E1BAD"/>
    <w:rsid w:val="007E3402"/>
    <w:rsid w:val="007E3BB1"/>
    <w:rsid w:val="007E4486"/>
    <w:rsid w:val="007F083F"/>
    <w:rsid w:val="007F33C2"/>
    <w:rsid w:val="007F7A62"/>
    <w:rsid w:val="00801B5C"/>
    <w:rsid w:val="00806F8E"/>
    <w:rsid w:val="00811231"/>
    <w:rsid w:val="008148ED"/>
    <w:rsid w:val="0081549C"/>
    <w:rsid w:val="008220C4"/>
    <w:rsid w:val="008258B4"/>
    <w:rsid w:val="00836F2C"/>
    <w:rsid w:val="00840095"/>
    <w:rsid w:val="0084358F"/>
    <w:rsid w:val="00845871"/>
    <w:rsid w:val="00860AE8"/>
    <w:rsid w:val="00874BA4"/>
    <w:rsid w:val="008754B7"/>
    <w:rsid w:val="0088590C"/>
    <w:rsid w:val="00886922"/>
    <w:rsid w:val="008912B3"/>
    <w:rsid w:val="00891DAB"/>
    <w:rsid w:val="0089270B"/>
    <w:rsid w:val="008950FD"/>
    <w:rsid w:val="00896912"/>
    <w:rsid w:val="00897058"/>
    <w:rsid w:val="008B644B"/>
    <w:rsid w:val="008B694D"/>
    <w:rsid w:val="008B6EB5"/>
    <w:rsid w:val="008C1D0C"/>
    <w:rsid w:val="008C2C24"/>
    <w:rsid w:val="008C5A25"/>
    <w:rsid w:val="008C5B65"/>
    <w:rsid w:val="008C6D20"/>
    <w:rsid w:val="008C7BE1"/>
    <w:rsid w:val="008D4B0C"/>
    <w:rsid w:val="008F4D59"/>
    <w:rsid w:val="008F5AAD"/>
    <w:rsid w:val="008F7BC6"/>
    <w:rsid w:val="0090255B"/>
    <w:rsid w:val="00903884"/>
    <w:rsid w:val="00905A4D"/>
    <w:rsid w:val="009147B2"/>
    <w:rsid w:val="00917E3D"/>
    <w:rsid w:val="00924AEC"/>
    <w:rsid w:val="00925181"/>
    <w:rsid w:val="00931700"/>
    <w:rsid w:val="00933375"/>
    <w:rsid w:val="00945A21"/>
    <w:rsid w:val="009465A9"/>
    <w:rsid w:val="00947809"/>
    <w:rsid w:val="009516D4"/>
    <w:rsid w:val="009614BC"/>
    <w:rsid w:val="00962A1E"/>
    <w:rsid w:val="0096587A"/>
    <w:rsid w:val="00967084"/>
    <w:rsid w:val="009753AF"/>
    <w:rsid w:val="00975C44"/>
    <w:rsid w:val="0098118F"/>
    <w:rsid w:val="00982535"/>
    <w:rsid w:val="009926A3"/>
    <w:rsid w:val="00992FF9"/>
    <w:rsid w:val="00994774"/>
    <w:rsid w:val="009A0E59"/>
    <w:rsid w:val="009A12DF"/>
    <w:rsid w:val="009B47E6"/>
    <w:rsid w:val="009C3B18"/>
    <w:rsid w:val="009C6BD6"/>
    <w:rsid w:val="009D27E9"/>
    <w:rsid w:val="009D3287"/>
    <w:rsid w:val="009D438D"/>
    <w:rsid w:val="009D5691"/>
    <w:rsid w:val="009E0C33"/>
    <w:rsid w:val="009F1080"/>
    <w:rsid w:val="009F2730"/>
    <w:rsid w:val="009F29EC"/>
    <w:rsid w:val="00A019BF"/>
    <w:rsid w:val="00A030D5"/>
    <w:rsid w:val="00A07281"/>
    <w:rsid w:val="00A150BB"/>
    <w:rsid w:val="00A161F3"/>
    <w:rsid w:val="00A231CF"/>
    <w:rsid w:val="00A417BE"/>
    <w:rsid w:val="00A43886"/>
    <w:rsid w:val="00A4428F"/>
    <w:rsid w:val="00A47C83"/>
    <w:rsid w:val="00A55E40"/>
    <w:rsid w:val="00A61C3E"/>
    <w:rsid w:val="00A769A8"/>
    <w:rsid w:val="00A77AD2"/>
    <w:rsid w:val="00A807D3"/>
    <w:rsid w:val="00A819C6"/>
    <w:rsid w:val="00A82A04"/>
    <w:rsid w:val="00A8653D"/>
    <w:rsid w:val="00A919A1"/>
    <w:rsid w:val="00A9366B"/>
    <w:rsid w:val="00AA57F7"/>
    <w:rsid w:val="00AA7E43"/>
    <w:rsid w:val="00AB3ADB"/>
    <w:rsid w:val="00AB67CB"/>
    <w:rsid w:val="00AB754F"/>
    <w:rsid w:val="00AC06B5"/>
    <w:rsid w:val="00AC584C"/>
    <w:rsid w:val="00AC5A40"/>
    <w:rsid w:val="00AC5EB0"/>
    <w:rsid w:val="00AD0444"/>
    <w:rsid w:val="00AD4FA7"/>
    <w:rsid w:val="00AD67DA"/>
    <w:rsid w:val="00AD6BB2"/>
    <w:rsid w:val="00AE11CD"/>
    <w:rsid w:val="00AE2517"/>
    <w:rsid w:val="00AE41A1"/>
    <w:rsid w:val="00AE4CBB"/>
    <w:rsid w:val="00AE4FB0"/>
    <w:rsid w:val="00AF3C82"/>
    <w:rsid w:val="00AF4BCC"/>
    <w:rsid w:val="00AF4F93"/>
    <w:rsid w:val="00AF5AF8"/>
    <w:rsid w:val="00B259CC"/>
    <w:rsid w:val="00B3017B"/>
    <w:rsid w:val="00B317D8"/>
    <w:rsid w:val="00B33982"/>
    <w:rsid w:val="00B463F8"/>
    <w:rsid w:val="00B46BD1"/>
    <w:rsid w:val="00B5267A"/>
    <w:rsid w:val="00B53B0B"/>
    <w:rsid w:val="00B56472"/>
    <w:rsid w:val="00B75258"/>
    <w:rsid w:val="00B77468"/>
    <w:rsid w:val="00B82005"/>
    <w:rsid w:val="00B84BF4"/>
    <w:rsid w:val="00B86E50"/>
    <w:rsid w:val="00B91FE2"/>
    <w:rsid w:val="00B94F71"/>
    <w:rsid w:val="00B95009"/>
    <w:rsid w:val="00B97D4B"/>
    <w:rsid w:val="00BA730B"/>
    <w:rsid w:val="00BC10A1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F50E9"/>
    <w:rsid w:val="00BF5575"/>
    <w:rsid w:val="00BF6DEF"/>
    <w:rsid w:val="00C009D0"/>
    <w:rsid w:val="00C02A39"/>
    <w:rsid w:val="00C056A1"/>
    <w:rsid w:val="00C06B53"/>
    <w:rsid w:val="00C06EF2"/>
    <w:rsid w:val="00C13A36"/>
    <w:rsid w:val="00C22D2B"/>
    <w:rsid w:val="00C25E10"/>
    <w:rsid w:val="00C27611"/>
    <w:rsid w:val="00C349D4"/>
    <w:rsid w:val="00C434B8"/>
    <w:rsid w:val="00C44B62"/>
    <w:rsid w:val="00C52D80"/>
    <w:rsid w:val="00C540FA"/>
    <w:rsid w:val="00C574A8"/>
    <w:rsid w:val="00C61712"/>
    <w:rsid w:val="00C66111"/>
    <w:rsid w:val="00C70B7D"/>
    <w:rsid w:val="00C72A78"/>
    <w:rsid w:val="00C73700"/>
    <w:rsid w:val="00C80C20"/>
    <w:rsid w:val="00C900F7"/>
    <w:rsid w:val="00C90873"/>
    <w:rsid w:val="00CA672C"/>
    <w:rsid w:val="00CB3A16"/>
    <w:rsid w:val="00CB44C0"/>
    <w:rsid w:val="00CB4D42"/>
    <w:rsid w:val="00CB5407"/>
    <w:rsid w:val="00CB61B7"/>
    <w:rsid w:val="00CB6D97"/>
    <w:rsid w:val="00CC118D"/>
    <w:rsid w:val="00CC139A"/>
    <w:rsid w:val="00CC38D2"/>
    <w:rsid w:val="00CC7274"/>
    <w:rsid w:val="00CD3BEB"/>
    <w:rsid w:val="00CD558E"/>
    <w:rsid w:val="00CE4745"/>
    <w:rsid w:val="00CE7973"/>
    <w:rsid w:val="00CF1DC0"/>
    <w:rsid w:val="00CF32C4"/>
    <w:rsid w:val="00CF3728"/>
    <w:rsid w:val="00CF4298"/>
    <w:rsid w:val="00D10855"/>
    <w:rsid w:val="00D11F6A"/>
    <w:rsid w:val="00D21445"/>
    <w:rsid w:val="00D244CE"/>
    <w:rsid w:val="00D30EF8"/>
    <w:rsid w:val="00D36863"/>
    <w:rsid w:val="00D37B23"/>
    <w:rsid w:val="00D462CE"/>
    <w:rsid w:val="00D54071"/>
    <w:rsid w:val="00D64116"/>
    <w:rsid w:val="00D646A5"/>
    <w:rsid w:val="00D75635"/>
    <w:rsid w:val="00D75737"/>
    <w:rsid w:val="00D80172"/>
    <w:rsid w:val="00D80548"/>
    <w:rsid w:val="00D82741"/>
    <w:rsid w:val="00D83335"/>
    <w:rsid w:val="00D86406"/>
    <w:rsid w:val="00D8769C"/>
    <w:rsid w:val="00D923AD"/>
    <w:rsid w:val="00D9487C"/>
    <w:rsid w:val="00D96125"/>
    <w:rsid w:val="00DA19D0"/>
    <w:rsid w:val="00DA2463"/>
    <w:rsid w:val="00DA4873"/>
    <w:rsid w:val="00DA6AB9"/>
    <w:rsid w:val="00DB0CC6"/>
    <w:rsid w:val="00DB2B20"/>
    <w:rsid w:val="00DB65F2"/>
    <w:rsid w:val="00DC21EE"/>
    <w:rsid w:val="00DC4893"/>
    <w:rsid w:val="00DD3243"/>
    <w:rsid w:val="00DD47FB"/>
    <w:rsid w:val="00DD5C14"/>
    <w:rsid w:val="00DE5C0C"/>
    <w:rsid w:val="00DF09B8"/>
    <w:rsid w:val="00DF33F5"/>
    <w:rsid w:val="00DF6CF6"/>
    <w:rsid w:val="00E062B7"/>
    <w:rsid w:val="00E06747"/>
    <w:rsid w:val="00E06E1C"/>
    <w:rsid w:val="00E10086"/>
    <w:rsid w:val="00E10563"/>
    <w:rsid w:val="00E127CC"/>
    <w:rsid w:val="00E2603F"/>
    <w:rsid w:val="00E27C90"/>
    <w:rsid w:val="00E304DE"/>
    <w:rsid w:val="00E41470"/>
    <w:rsid w:val="00E418EC"/>
    <w:rsid w:val="00E449FF"/>
    <w:rsid w:val="00E45008"/>
    <w:rsid w:val="00E45F28"/>
    <w:rsid w:val="00E46351"/>
    <w:rsid w:val="00E4693B"/>
    <w:rsid w:val="00E54208"/>
    <w:rsid w:val="00E542ED"/>
    <w:rsid w:val="00E54537"/>
    <w:rsid w:val="00E650CF"/>
    <w:rsid w:val="00E65EE1"/>
    <w:rsid w:val="00E67F71"/>
    <w:rsid w:val="00E720DE"/>
    <w:rsid w:val="00E77AE0"/>
    <w:rsid w:val="00E87FD5"/>
    <w:rsid w:val="00E9589A"/>
    <w:rsid w:val="00EA2447"/>
    <w:rsid w:val="00EA572E"/>
    <w:rsid w:val="00EA5D03"/>
    <w:rsid w:val="00EB1E9E"/>
    <w:rsid w:val="00EB2293"/>
    <w:rsid w:val="00EB2679"/>
    <w:rsid w:val="00EB2AB2"/>
    <w:rsid w:val="00EB2E41"/>
    <w:rsid w:val="00EB5085"/>
    <w:rsid w:val="00EB5A4E"/>
    <w:rsid w:val="00ED2126"/>
    <w:rsid w:val="00ED54DF"/>
    <w:rsid w:val="00EE44D2"/>
    <w:rsid w:val="00EF09B5"/>
    <w:rsid w:val="00F041F6"/>
    <w:rsid w:val="00F06075"/>
    <w:rsid w:val="00F1301E"/>
    <w:rsid w:val="00F13E82"/>
    <w:rsid w:val="00F17A49"/>
    <w:rsid w:val="00F336CE"/>
    <w:rsid w:val="00F43EB7"/>
    <w:rsid w:val="00F47E74"/>
    <w:rsid w:val="00F53633"/>
    <w:rsid w:val="00F546D6"/>
    <w:rsid w:val="00F561FE"/>
    <w:rsid w:val="00F65D0C"/>
    <w:rsid w:val="00F72BCB"/>
    <w:rsid w:val="00F72E7A"/>
    <w:rsid w:val="00F7451A"/>
    <w:rsid w:val="00F839CA"/>
    <w:rsid w:val="00F85FE3"/>
    <w:rsid w:val="00F86DE7"/>
    <w:rsid w:val="00F87E1C"/>
    <w:rsid w:val="00F945F3"/>
    <w:rsid w:val="00F94B0A"/>
    <w:rsid w:val="00F94BE0"/>
    <w:rsid w:val="00FA1131"/>
    <w:rsid w:val="00FA16F5"/>
    <w:rsid w:val="00FA5A82"/>
    <w:rsid w:val="00FB0E66"/>
    <w:rsid w:val="00FB45B4"/>
    <w:rsid w:val="00FD11CF"/>
    <w:rsid w:val="00FD553E"/>
    <w:rsid w:val="00FD5B5E"/>
    <w:rsid w:val="00FD5DAF"/>
    <w:rsid w:val="00FE4A86"/>
    <w:rsid w:val="00FE7959"/>
    <w:rsid w:val="013C106B"/>
    <w:rsid w:val="016B7126"/>
    <w:rsid w:val="016E1B46"/>
    <w:rsid w:val="01775365"/>
    <w:rsid w:val="017A612F"/>
    <w:rsid w:val="018458B7"/>
    <w:rsid w:val="01C9661C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F70767"/>
    <w:rsid w:val="1A1500BC"/>
    <w:rsid w:val="1A5078F6"/>
    <w:rsid w:val="1A5C09A8"/>
    <w:rsid w:val="1A6B6634"/>
    <w:rsid w:val="1A76433F"/>
    <w:rsid w:val="1B205433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B51814"/>
    <w:rsid w:val="2A0E66B1"/>
    <w:rsid w:val="2A3D4C50"/>
    <w:rsid w:val="2A4A5C0E"/>
    <w:rsid w:val="2A873E87"/>
    <w:rsid w:val="2AA967DF"/>
    <w:rsid w:val="2B19564E"/>
    <w:rsid w:val="2BBE2BCD"/>
    <w:rsid w:val="2BC66CF8"/>
    <w:rsid w:val="2BE72ADB"/>
    <w:rsid w:val="2BFC1CFF"/>
    <w:rsid w:val="2C281862"/>
    <w:rsid w:val="2C524742"/>
    <w:rsid w:val="2CAC34BC"/>
    <w:rsid w:val="2CFC4ABE"/>
    <w:rsid w:val="2D5074E1"/>
    <w:rsid w:val="2D5A1C86"/>
    <w:rsid w:val="2D8002B2"/>
    <w:rsid w:val="2D9066E9"/>
    <w:rsid w:val="2D9477FF"/>
    <w:rsid w:val="2DA25C28"/>
    <w:rsid w:val="2DE44453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CD0B77"/>
    <w:rsid w:val="360236A7"/>
    <w:rsid w:val="361323A1"/>
    <w:rsid w:val="3658795B"/>
    <w:rsid w:val="365D653F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400B3480"/>
    <w:rsid w:val="409E11AB"/>
    <w:rsid w:val="40B31750"/>
    <w:rsid w:val="40C703BC"/>
    <w:rsid w:val="40CA020A"/>
    <w:rsid w:val="41CE2FC4"/>
    <w:rsid w:val="41D54BEF"/>
    <w:rsid w:val="41EA7BF2"/>
    <w:rsid w:val="41F01680"/>
    <w:rsid w:val="41FF2D0D"/>
    <w:rsid w:val="42E52617"/>
    <w:rsid w:val="42F418E3"/>
    <w:rsid w:val="42F66902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6013FEC"/>
    <w:rsid w:val="561E5FC5"/>
    <w:rsid w:val="5634240E"/>
    <w:rsid w:val="5662718E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CD241F"/>
    <w:rsid w:val="5D284B68"/>
    <w:rsid w:val="5D5C1156"/>
    <w:rsid w:val="5D8328CB"/>
    <w:rsid w:val="5DA135D9"/>
    <w:rsid w:val="5DB95570"/>
    <w:rsid w:val="5DBA4626"/>
    <w:rsid w:val="5E4F2EED"/>
    <w:rsid w:val="5E67608C"/>
    <w:rsid w:val="5E8D6A1B"/>
    <w:rsid w:val="5E97133C"/>
    <w:rsid w:val="5EE31824"/>
    <w:rsid w:val="5F1C6805"/>
    <w:rsid w:val="5F3474D5"/>
    <w:rsid w:val="5FA71752"/>
    <w:rsid w:val="5FAB3BDF"/>
    <w:rsid w:val="60426FE6"/>
    <w:rsid w:val="60751BCB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997310"/>
    <w:rsid w:val="64C42C3F"/>
    <w:rsid w:val="655A5778"/>
    <w:rsid w:val="659137C8"/>
    <w:rsid w:val="659E4792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720D68"/>
    <w:rsid w:val="68F01C1A"/>
    <w:rsid w:val="69037690"/>
    <w:rsid w:val="691822DC"/>
    <w:rsid w:val="692F7D30"/>
    <w:rsid w:val="6958244B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5A7CEB"/>
    <w:rsid w:val="7E7A5BE3"/>
    <w:rsid w:val="7F92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47809"/>
    <w:pPr>
      <w:ind w:firstLineChars="200" w:firstLine="630"/>
      <w:jc w:val="left"/>
    </w:pPr>
    <w:rPr>
      <w:sz w:val="32"/>
    </w:rPr>
  </w:style>
  <w:style w:type="paragraph" w:styleId="a4">
    <w:name w:val="Balloon Text"/>
    <w:basedOn w:val="a"/>
    <w:link w:val="Char0"/>
    <w:rsid w:val="00947809"/>
    <w:rPr>
      <w:sz w:val="18"/>
      <w:szCs w:val="18"/>
    </w:rPr>
  </w:style>
  <w:style w:type="paragraph" w:styleId="a5">
    <w:name w:val="footer"/>
    <w:basedOn w:val="a"/>
    <w:qFormat/>
    <w:rsid w:val="00947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947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947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947809"/>
  </w:style>
  <w:style w:type="character" w:customStyle="1" w:styleId="Char0">
    <w:name w:val="批注框文本 Char"/>
    <w:link w:val="a4"/>
    <w:rsid w:val="00947809"/>
    <w:rPr>
      <w:kern w:val="2"/>
      <w:sz w:val="18"/>
      <w:szCs w:val="18"/>
    </w:rPr>
  </w:style>
  <w:style w:type="character" w:customStyle="1" w:styleId="2Char">
    <w:name w:val="标题2 Char"/>
    <w:link w:val="2"/>
    <w:qFormat/>
    <w:rsid w:val="00947809"/>
    <w:rPr>
      <w:rFonts w:eastAsia="方正楷体_GBK"/>
      <w:snapToGrid w:val="0"/>
      <w:sz w:val="32"/>
      <w:lang w:val="en-US" w:eastAsia="zh-CN" w:bidi="ar-SA"/>
    </w:rPr>
  </w:style>
  <w:style w:type="paragraph" w:customStyle="1" w:styleId="2">
    <w:name w:val="标题2"/>
    <w:basedOn w:val="a"/>
    <w:next w:val="a"/>
    <w:link w:val="2Char"/>
    <w:qFormat/>
    <w:rsid w:val="00947809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3Char">
    <w:name w:val="标题3 Char"/>
    <w:link w:val="3"/>
    <w:rsid w:val="00947809"/>
    <w:rPr>
      <w:rFonts w:eastAsia="方正黑体_GBK"/>
      <w:snapToGrid w:val="0"/>
      <w:sz w:val="32"/>
      <w:lang w:val="en-US" w:eastAsia="zh-CN" w:bidi="ar-SA"/>
    </w:rPr>
  </w:style>
  <w:style w:type="paragraph" w:customStyle="1" w:styleId="3">
    <w:name w:val="标题3"/>
    <w:basedOn w:val="a"/>
    <w:next w:val="a"/>
    <w:link w:val="3Char"/>
    <w:rsid w:val="00947809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">
    <w:name w:val="标题1"/>
    <w:basedOn w:val="a"/>
    <w:next w:val="a"/>
    <w:qFormat/>
    <w:rsid w:val="0094780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0">
    <w:name w:val="明显强调1"/>
    <w:basedOn w:val="a0"/>
    <w:uiPriority w:val="21"/>
    <w:qFormat/>
    <w:rsid w:val="00947809"/>
    <w:rPr>
      <w:b/>
      <w:bCs/>
      <w:i/>
      <w:iCs/>
      <w:color w:val="4F81BD" w:themeColor="accent1"/>
    </w:rPr>
  </w:style>
  <w:style w:type="character" w:customStyle="1" w:styleId="Char">
    <w:name w:val="正文文本缩进 Char"/>
    <w:basedOn w:val="a0"/>
    <w:link w:val="a3"/>
    <w:qFormat/>
    <w:rsid w:val="00947809"/>
    <w:rPr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9F0731-0851-4756-939D-67AFC229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195</Words>
  <Characters>1117</Characters>
  <Application>Microsoft Office Word</Application>
  <DocSecurity>0</DocSecurity>
  <Lines>9</Lines>
  <Paragraphs>2</Paragraphs>
  <ScaleCrop>false</ScaleCrop>
  <Company>微软中国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进一步明确民生幸福工程路线图和时间表</dc:title>
  <dc:creator>zl</dc:creator>
  <cp:lastModifiedBy>lenovo</cp:lastModifiedBy>
  <cp:revision>15</cp:revision>
  <cp:lastPrinted>2021-05-21T02:09:00Z</cp:lastPrinted>
  <dcterms:created xsi:type="dcterms:W3CDTF">2021-05-21T01:45:00Z</dcterms:created>
  <dcterms:modified xsi:type="dcterms:W3CDTF">2021-06-22T06:09:00Z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