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CF" w:rsidRPr="00E03892" w:rsidRDefault="00425399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E0389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2021年1</w:t>
      </w:r>
      <w:r w:rsidRPr="00E03892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-</w:t>
      </w:r>
      <w:r w:rsidRPr="00E0389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10月无锡市国民经济运行情况简析</w:t>
      </w:r>
    </w:p>
    <w:p w:rsidR="00EB7CCF" w:rsidRDefault="00EB7CCF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EB7CCF" w:rsidRDefault="00425399">
      <w:pPr>
        <w:pStyle w:val="a3"/>
        <w:snapToGrid w:val="0"/>
        <w:spacing w:line="360" w:lineRule="auto"/>
        <w:ind w:firstLineChars="0" w:firstLine="57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1-10</w:t>
      </w:r>
      <w:r>
        <w:rPr>
          <w:rFonts w:hint="eastAsia"/>
          <w:sz w:val="28"/>
          <w:szCs w:val="28"/>
        </w:rPr>
        <w:t>月，全市经济运行持续稳定恢复，工业、消费、外贸、财税、用电等指标保持两位数增长，生产端总体平稳，需求端继续改善，质量效益稳中有好，主要经济指标保持在合理区间。</w:t>
      </w:r>
    </w:p>
    <w:p w:rsidR="00EB7CCF" w:rsidRDefault="00E03892">
      <w:pPr>
        <w:pStyle w:val="a3"/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25399">
        <w:rPr>
          <w:sz w:val="28"/>
          <w:szCs w:val="28"/>
        </w:rPr>
        <w:t>一、工业生产</w:t>
      </w:r>
      <w:r w:rsidR="00425399">
        <w:rPr>
          <w:sz w:val="28"/>
          <w:szCs w:val="28"/>
        </w:rPr>
        <w:t xml:space="preserve"> </w:t>
      </w:r>
    </w:p>
    <w:p w:rsidR="00EB7CCF" w:rsidRDefault="00E03892">
      <w:pPr>
        <w:pStyle w:val="a3"/>
        <w:tabs>
          <w:tab w:val="left" w:pos="567"/>
          <w:tab w:val="left" w:pos="851"/>
        </w:tabs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25399">
        <w:rPr>
          <w:rFonts w:hint="eastAsia"/>
          <w:sz w:val="28"/>
          <w:szCs w:val="28"/>
        </w:rPr>
        <w:t>1-10</w:t>
      </w:r>
      <w:r w:rsidR="00425399">
        <w:rPr>
          <w:rFonts w:hint="eastAsia"/>
          <w:sz w:val="28"/>
          <w:szCs w:val="28"/>
        </w:rPr>
        <w:t>月，</w:t>
      </w:r>
      <w:r w:rsidR="00425399">
        <w:rPr>
          <w:sz w:val="28"/>
          <w:szCs w:val="28"/>
        </w:rPr>
        <w:t>全市</w:t>
      </w:r>
      <w:r w:rsidR="00425399">
        <w:rPr>
          <w:rFonts w:hint="eastAsia"/>
          <w:sz w:val="28"/>
          <w:szCs w:val="28"/>
        </w:rPr>
        <w:t>实现规模以上</w:t>
      </w:r>
      <w:r w:rsidR="00425399">
        <w:rPr>
          <w:sz w:val="28"/>
          <w:szCs w:val="28"/>
        </w:rPr>
        <w:t>工业增加值</w:t>
      </w:r>
      <w:r w:rsidR="00425399">
        <w:rPr>
          <w:rFonts w:hint="eastAsia"/>
          <w:sz w:val="28"/>
          <w:szCs w:val="28"/>
        </w:rPr>
        <w:t>4006.57</w:t>
      </w:r>
      <w:r w:rsidR="00425399">
        <w:rPr>
          <w:rFonts w:hint="eastAsia"/>
          <w:sz w:val="28"/>
          <w:szCs w:val="28"/>
        </w:rPr>
        <w:t>亿元，同比增长</w:t>
      </w:r>
      <w:r w:rsidR="00425399">
        <w:rPr>
          <w:rFonts w:hint="eastAsia"/>
          <w:sz w:val="28"/>
          <w:szCs w:val="28"/>
        </w:rPr>
        <w:t>14.7%</w:t>
      </w:r>
      <w:r w:rsidR="00425399">
        <w:rPr>
          <w:rFonts w:hint="eastAsia"/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</w:rPr>
        <w:t>从工业产销看，全市规模以上工业产销率为</w:t>
      </w:r>
      <w:r>
        <w:rPr>
          <w:sz w:val="28"/>
          <w:szCs w:val="28"/>
        </w:rPr>
        <w:t>97.</w:t>
      </w:r>
      <w:r>
        <w:rPr>
          <w:rFonts w:hint="eastAsia"/>
          <w:sz w:val="28"/>
          <w:szCs w:val="28"/>
        </w:rPr>
        <w:t>83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  <w:r>
        <w:rPr>
          <w:sz w:val="28"/>
          <w:szCs w:val="28"/>
        </w:rPr>
        <w:t>30</w:t>
      </w:r>
      <w:r>
        <w:rPr>
          <w:sz w:val="28"/>
          <w:szCs w:val="28"/>
        </w:rPr>
        <w:t>种重点产品中</w:t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种产品产量实现正增长，其中</w:t>
      </w:r>
      <w:r>
        <w:rPr>
          <w:sz w:val="28"/>
          <w:szCs w:val="28"/>
          <w:lang w:val="zh-CN"/>
        </w:rPr>
        <w:t>装备制造工业中的</w:t>
      </w:r>
      <w:r>
        <w:rPr>
          <w:rFonts w:hint="eastAsia"/>
          <w:sz w:val="28"/>
          <w:szCs w:val="28"/>
          <w:lang w:val="zh-CN"/>
        </w:rPr>
        <w:t>半导体</w:t>
      </w:r>
      <w:r>
        <w:rPr>
          <w:sz w:val="28"/>
          <w:szCs w:val="28"/>
          <w:lang w:val="zh-CN"/>
        </w:rPr>
        <w:t>分立器件</w:t>
      </w:r>
      <w:r>
        <w:rPr>
          <w:rFonts w:hint="eastAsia"/>
          <w:sz w:val="28"/>
          <w:szCs w:val="28"/>
          <w:lang w:val="zh-CN"/>
        </w:rPr>
        <w:t>、</w:t>
      </w:r>
      <w:r>
        <w:rPr>
          <w:sz w:val="28"/>
          <w:szCs w:val="28"/>
          <w:lang w:val="zh-CN"/>
        </w:rPr>
        <w:t>集成电路产量同比分别增长</w:t>
      </w:r>
      <w:r>
        <w:rPr>
          <w:sz w:val="28"/>
          <w:szCs w:val="28"/>
        </w:rPr>
        <w:t>53.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48.5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；消费品工业中的</w:t>
      </w:r>
      <w:r>
        <w:rPr>
          <w:rFonts w:hint="eastAsia"/>
          <w:sz w:val="28"/>
          <w:szCs w:val="28"/>
          <w:lang w:val="zh-CN"/>
        </w:rPr>
        <w:t>家用洗衣机、锂离子电池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  <w:lang w:val="zh-CN"/>
        </w:rPr>
        <w:t>电动自行车产量</w:t>
      </w:r>
      <w:r>
        <w:rPr>
          <w:sz w:val="28"/>
          <w:szCs w:val="28"/>
          <w:lang w:val="zh-CN"/>
        </w:rPr>
        <w:t>同比分别增长</w:t>
      </w:r>
      <w:r>
        <w:rPr>
          <w:rFonts w:hint="eastAsia"/>
          <w:sz w:val="28"/>
          <w:szCs w:val="28"/>
        </w:rPr>
        <w:t>44.7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33.2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24.2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二、固定资产投资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1-10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全市完成固定资产投资</w:t>
      </w:r>
      <w:r>
        <w:rPr>
          <w:rFonts w:hint="eastAsia"/>
          <w:sz w:val="28"/>
          <w:szCs w:val="28"/>
        </w:rPr>
        <w:t>3360.45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4.8%</w:t>
      </w:r>
      <w:r>
        <w:rPr>
          <w:sz w:val="28"/>
          <w:szCs w:val="28"/>
        </w:rPr>
        <w:t>，其中工业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</w:rPr>
        <w:t>1346.18</w:t>
      </w:r>
      <w:r>
        <w:rPr>
          <w:sz w:val="28"/>
          <w:szCs w:val="28"/>
        </w:rPr>
        <w:t>亿元，同比下降</w:t>
      </w:r>
      <w:r>
        <w:rPr>
          <w:rFonts w:hint="eastAsia"/>
          <w:sz w:val="28"/>
          <w:szCs w:val="28"/>
        </w:rPr>
        <w:t>8.4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，降幅持续收窄</w:t>
      </w:r>
      <w:r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  <w:highlight w:val="yellow"/>
        </w:rPr>
      </w:pPr>
      <w:r>
        <w:rPr>
          <w:sz w:val="28"/>
          <w:szCs w:val="28"/>
        </w:rPr>
        <w:t>从产业投向看，第二产业</w:t>
      </w:r>
      <w:r>
        <w:rPr>
          <w:rFonts w:hint="eastAsia"/>
          <w:sz w:val="28"/>
          <w:szCs w:val="28"/>
        </w:rPr>
        <w:t>完成投资</w:t>
      </w:r>
      <w:r>
        <w:rPr>
          <w:rFonts w:hint="eastAsia"/>
          <w:sz w:val="28"/>
          <w:szCs w:val="28"/>
        </w:rPr>
        <w:t>1346.18</w:t>
      </w:r>
      <w:r>
        <w:rPr>
          <w:rFonts w:hint="eastAsia"/>
          <w:sz w:val="28"/>
          <w:szCs w:val="28"/>
        </w:rPr>
        <w:t>亿元，</w:t>
      </w:r>
      <w:r>
        <w:rPr>
          <w:sz w:val="28"/>
          <w:szCs w:val="28"/>
        </w:rPr>
        <w:t>同比下降</w:t>
      </w:r>
      <w:r>
        <w:rPr>
          <w:rFonts w:hint="eastAsia"/>
          <w:sz w:val="28"/>
          <w:szCs w:val="28"/>
        </w:rPr>
        <w:t>8.4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，其中工业技改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</w:rPr>
        <w:t>787.08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，同比下降</w:t>
      </w:r>
      <w:r>
        <w:rPr>
          <w:rFonts w:hint="eastAsia"/>
          <w:sz w:val="28"/>
          <w:szCs w:val="28"/>
        </w:rPr>
        <w:t>3.5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。第三产业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投资</w:t>
      </w:r>
      <w:r>
        <w:rPr>
          <w:rFonts w:hint="eastAsia"/>
          <w:sz w:val="28"/>
          <w:szCs w:val="28"/>
        </w:rPr>
        <w:t>2011.06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.1%</w:t>
      </w:r>
      <w:r>
        <w:rPr>
          <w:sz w:val="28"/>
          <w:szCs w:val="28"/>
        </w:rPr>
        <w:t>，其中房地产开发投资</w:t>
      </w:r>
      <w:r>
        <w:rPr>
          <w:rFonts w:hint="eastAsia"/>
          <w:sz w:val="28"/>
          <w:szCs w:val="28"/>
        </w:rPr>
        <w:t>1338.85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15.1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三、消费品市场</w:t>
      </w:r>
    </w:p>
    <w:p w:rsidR="00EB7CCF" w:rsidRDefault="00425399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1-10</w:t>
      </w:r>
      <w:r>
        <w:rPr>
          <w:rFonts w:hint="eastAsia"/>
          <w:sz w:val="28"/>
          <w:szCs w:val="28"/>
        </w:rPr>
        <w:t>月，全市实现社会消费品零售总额</w:t>
      </w:r>
      <w:r>
        <w:rPr>
          <w:rFonts w:hint="eastAsia"/>
          <w:sz w:val="28"/>
          <w:szCs w:val="28"/>
        </w:rPr>
        <w:t>2733.24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13.3%</w:t>
      </w:r>
      <w:r>
        <w:rPr>
          <w:rFonts w:hint="eastAsia"/>
          <w:sz w:val="28"/>
          <w:szCs w:val="28"/>
        </w:rPr>
        <w:t>。从大类商品限上零售额来看，居民日常生活类商品增长较快，粮油食品类，服装、鞋帽、针纺织品类同比分别增长</w:t>
      </w:r>
      <w:r>
        <w:rPr>
          <w:rFonts w:hint="eastAsia"/>
          <w:sz w:val="28"/>
          <w:szCs w:val="28"/>
        </w:rPr>
        <w:t>31.2%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41.2%</w:t>
      </w:r>
      <w:r>
        <w:rPr>
          <w:rFonts w:hint="eastAsia"/>
          <w:sz w:val="28"/>
          <w:szCs w:val="28"/>
        </w:rPr>
        <w:t>；升级类消费品增长也较快，通讯器材类、化妆品类、金银珠宝类同比分别增长</w:t>
      </w:r>
      <w:r>
        <w:rPr>
          <w:rFonts w:hint="eastAsia"/>
          <w:sz w:val="28"/>
          <w:szCs w:val="28"/>
        </w:rPr>
        <w:t>27.5%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38.3%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80.4%</w:t>
      </w:r>
      <w:r w:rsidR="00B36808">
        <w:rPr>
          <w:rFonts w:hint="eastAsia"/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四、对外贸易</w:t>
      </w:r>
    </w:p>
    <w:p w:rsidR="00EB7CCF" w:rsidRDefault="00425399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1-10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全市实现进出口总</w:t>
      </w:r>
      <w:r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5524.71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11.8%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其中出</w:t>
      </w:r>
      <w:r>
        <w:rPr>
          <w:sz w:val="28"/>
          <w:szCs w:val="28"/>
        </w:rPr>
        <w:lastRenderedPageBreak/>
        <w:t>口总</w:t>
      </w:r>
      <w:r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3392.70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18.8%</w:t>
      </w:r>
      <w:r>
        <w:rPr>
          <w:rFonts w:hint="eastAsia"/>
          <w:sz w:val="28"/>
          <w:szCs w:val="28"/>
        </w:rPr>
        <w:t>；进口</w:t>
      </w:r>
      <w:r>
        <w:rPr>
          <w:sz w:val="28"/>
          <w:szCs w:val="28"/>
        </w:rPr>
        <w:t>总</w:t>
      </w:r>
      <w:r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2132.01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2.3%</w:t>
      </w:r>
      <w:r>
        <w:rPr>
          <w:sz w:val="28"/>
          <w:szCs w:val="28"/>
        </w:rPr>
        <w:t>。以</w:t>
      </w:r>
      <w:r>
        <w:rPr>
          <w:rFonts w:hint="eastAsia"/>
          <w:sz w:val="28"/>
          <w:szCs w:val="28"/>
        </w:rPr>
        <w:t>美元</w:t>
      </w:r>
      <w:r>
        <w:rPr>
          <w:sz w:val="28"/>
          <w:szCs w:val="28"/>
        </w:rPr>
        <w:t>计进出口、出口、进口总</w:t>
      </w:r>
      <w:r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同比分别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20.7</w:t>
      </w:r>
      <w:r>
        <w:rPr>
          <w:sz w:val="28"/>
          <w:szCs w:val="28"/>
        </w:rPr>
        <w:t>%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28.3</w:t>
      </w:r>
      <w:r>
        <w:rPr>
          <w:sz w:val="28"/>
          <w:szCs w:val="28"/>
        </w:rPr>
        <w:t>%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10.3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从贸易方式看，全市一般贸易出口</w:t>
      </w:r>
      <w:r>
        <w:rPr>
          <w:rFonts w:hint="eastAsia"/>
          <w:sz w:val="28"/>
          <w:szCs w:val="28"/>
        </w:rPr>
        <w:t>2047.80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29.3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加工贸易出口</w:t>
      </w:r>
      <w:r>
        <w:rPr>
          <w:rFonts w:hint="eastAsia"/>
          <w:sz w:val="28"/>
          <w:szCs w:val="28"/>
        </w:rPr>
        <w:t>1116.39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2.4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五、财政金融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1-10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全市实现一般公共预算收入</w:t>
      </w:r>
      <w:r>
        <w:rPr>
          <w:rFonts w:hint="eastAsia"/>
          <w:sz w:val="28"/>
          <w:szCs w:val="28"/>
        </w:rPr>
        <w:t>1009.83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13.5%</w:t>
      </w:r>
      <w:r>
        <w:rPr>
          <w:sz w:val="28"/>
          <w:szCs w:val="28"/>
        </w:rPr>
        <w:t>，其中税收收入</w:t>
      </w:r>
      <w:r>
        <w:rPr>
          <w:rFonts w:hint="eastAsia"/>
          <w:sz w:val="28"/>
          <w:szCs w:val="28"/>
        </w:rPr>
        <w:t>881.77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13.6%</w:t>
      </w:r>
      <w:r>
        <w:rPr>
          <w:sz w:val="28"/>
          <w:szCs w:val="28"/>
        </w:rPr>
        <w:t>。从主要税种看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增值税</w:t>
      </w:r>
      <w:r>
        <w:rPr>
          <w:rFonts w:hint="eastAsia"/>
          <w:sz w:val="28"/>
          <w:szCs w:val="28"/>
        </w:rPr>
        <w:t>365.81</w:t>
      </w:r>
    </w:p>
    <w:p w:rsidR="00EB7CCF" w:rsidRDefault="00425399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13.4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；企业所得税</w:t>
      </w:r>
      <w:r>
        <w:rPr>
          <w:rFonts w:hint="eastAsia"/>
          <w:sz w:val="28"/>
          <w:szCs w:val="28"/>
        </w:rPr>
        <w:t>183.59</w:t>
      </w:r>
      <w:r>
        <w:rPr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14.1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契税</w:t>
      </w:r>
      <w:r>
        <w:rPr>
          <w:rFonts w:hint="eastAsia"/>
          <w:sz w:val="28"/>
          <w:szCs w:val="28"/>
        </w:rPr>
        <w:t>84.61</w:t>
      </w:r>
      <w:r>
        <w:rPr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12.8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  <w:highlight w:val="yellow"/>
        </w:rPr>
      </w:pPr>
      <w:r>
        <w:rPr>
          <w:sz w:val="28"/>
          <w:szCs w:val="28"/>
        </w:rPr>
        <w:t>截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月末，全市金融机构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存款余额为</w:t>
      </w:r>
      <w:r>
        <w:rPr>
          <w:rFonts w:hint="eastAsia"/>
          <w:sz w:val="28"/>
          <w:szCs w:val="28"/>
        </w:rPr>
        <w:t>20539.99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8.3%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贷款余额为</w:t>
      </w:r>
      <w:r>
        <w:rPr>
          <w:rFonts w:hint="eastAsia"/>
          <w:sz w:val="28"/>
          <w:szCs w:val="28"/>
        </w:rPr>
        <w:t>16992.19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13.6%</w:t>
      </w:r>
      <w:r>
        <w:rPr>
          <w:rFonts w:hint="eastAsia"/>
          <w:sz w:val="28"/>
          <w:szCs w:val="28"/>
        </w:rPr>
        <w:t>。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六、市场物价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1-10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居民消费价格总水平（</w:t>
      </w:r>
      <w:r>
        <w:rPr>
          <w:sz w:val="28"/>
          <w:szCs w:val="28"/>
        </w:rPr>
        <w:t>CPI</w:t>
      </w:r>
      <w:r>
        <w:rPr>
          <w:sz w:val="28"/>
          <w:szCs w:val="28"/>
        </w:rPr>
        <w:t>）为</w:t>
      </w:r>
      <w:r>
        <w:rPr>
          <w:sz w:val="28"/>
          <w:szCs w:val="28"/>
        </w:rPr>
        <w:t>101.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，市场物价上涨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。从调查的八大类商品和服务价格来看，与上年同期相比，呈现出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升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格局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上涨的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大类中，</w:t>
      </w:r>
      <w:r>
        <w:rPr>
          <w:rFonts w:hint="eastAsia"/>
          <w:sz w:val="28"/>
          <w:szCs w:val="28"/>
        </w:rPr>
        <w:t>指数</w:t>
      </w:r>
      <w:r>
        <w:rPr>
          <w:sz w:val="28"/>
          <w:szCs w:val="28"/>
        </w:rPr>
        <w:t>涨幅较高的是</w:t>
      </w:r>
      <w:r>
        <w:rPr>
          <w:rFonts w:hint="eastAsia"/>
          <w:sz w:val="28"/>
          <w:szCs w:val="28"/>
        </w:rPr>
        <w:t>交通通信</w:t>
      </w:r>
      <w:r>
        <w:rPr>
          <w:sz w:val="28"/>
          <w:szCs w:val="28"/>
        </w:rPr>
        <w:t>类，</w:t>
      </w:r>
      <w:r>
        <w:rPr>
          <w:rFonts w:hint="eastAsia"/>
          <w:sz w:val="28"/>
          <w:szCs w:val="28"/>
        </w:rPr>
        <w:t>上涨</w:t>
      </w:r>
      <w:r>
        <w:rPr>
          <w:rFonts w:hint="eastAsia"/>
          <w:sz w:val="28"/>
          <w:szCs w:val="28"/>
        </w:rPr>
        <w:t>4.0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；教育文化</w:t>
      </w:r>
      <w:r>
        <w:rPr>
          <w:sz w:val="28"/>
          <w:szCs w:val="28"/>
        </w:rPr>
        <w:t>娱乐</w:t>
      </w:r>
      <w:r>
        <w:rPr>
          <w:rFonts w:hint="eastAsia"/>
          <w:sz w:val="28"/>
          <w:szCs w:val="28"/>
        </w:rPr>
        <w:t>类上涨</w:t>
      </w:r>
      <w:r>
        <w:rPr>
          <w:rFonts w:hint="eastAsia"/>
          <w:sz w:val="28"/>
          <w:szCs w:val="28"/>
        </w:rPr>
        <w:t>2.2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；医疗保健类上涨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；居住类上涨</w:t>
      </w: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5%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衣着类</w:t>
      </w:r>
      <w:r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生活用品及服务类上涨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；食品烟酒类上涨</w:t>
      </w:r>
      <w:r>
        <w:rPr>
          <w:rFonts w:hint="eastAsia"/>
          <w:sz w:val="28"/>
          <w:szCs w:val="28"/>
        </w:rPr>
        <w:t>0.7%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其他用品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服务</w:t>
      </w:r>
      <w:r>
        <w:rPr>
          <w:rFonts w:hint="eastAsia"/>
          <w:sz w:val="28"/>
          <w:szCs w:val="28"/>
        </w:rPr>
        <w:t>类则下降</w:t>
      </w:r>
      <w:r>
        <w:rPr>
          <w:rFonts w:hint="eastAsia"/>
          <w:sz w:val="28"/>
          <w:szCs w:val="28"/>
        </w:rPr>
        <w:t>0.</w:t>
      </w:r>
      <w:r>
        <w:rPr>
          <w:sz w:val="28"/>
          <w:szCs w:val="28"/>
        </w:rPr>
        <w:t>5%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七、电力消耗</w:t>
      </w:r>
    </w:p>
    <w:p w:rsidR="00EB7CCF" w:rsidRDefault="00425399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1-10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全市实现全社会用电量</w:t>
      </w:r>
      <w:r>
        <w:rPr>
          <w:rFonts w:hint="eastAsia"/>
          <w:sz w:val="28"/>
          <w:szCs w:val="28"/>
        </w:rPr>
        <w:t>698.67</w:t>
      </w:r>
      <w:r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13.0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，其中工业用电量为</w:t>
      </w:r>
      <w:r>
        <w:rPr>
          <w:rFonts w:hint="eastAsia"/>
          <w:sz w:val="28"/>
          <w:szCs w:val="28"/>
        </w:rPr>
        <w:t>512.96</w:t>
      </w:r>
      <w:r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12.2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EB7CCF" w:rsidRDefault="00EB7CCF">
      <w:pPr>
        <w:snapToGrid w:val="0"/>
        <w:spacing w:line="360" w:lineRule="auto"/>
        <w:ind w:firstLine="570"/>
        <w:rPr>
          <w:sz w:val="28"/>
          <w:szCs w:val="28"/>
        </w:rPr>
      </w:pPr>
    </w:p>
    <w:sectPr w:rsidR="00EB7CCF" w:rsidSect="00EB7CCF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DC8" w:rsidRDefault="00CF4DC8" w:rsidP="00EB7CCF">
      <w:r>
        <w:separator/>
      </w:r>
    </w:p>
  </w:endnote>
  <w:endnote w:type="continuationSeparator" w:id="1">
    <w:p w:rsidR="00CF4DC8" w:rsidRDefault="00CF4DC8" w:rsidP="00EB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CF" w:rsidRDefault="00A26056">
    <w:pPr>
      <w:pStyle w:val="a5"/>
      <w:jc w:val="center"/>
    </w:pPr>
    <w:r>
      <w:fldChar w:fldCharType="begin"/>
    </w:r>
    <w:r w:rsidR="00425399">
      <w:rPr>
        <w:rStyle w:val="a8"/>
      </w:rPr>
      <w:instrText xml:space="preserve"> PAGE </w:instrText>
    </w:r>
    <w:r>
      <w:fldChar w:fldCharType="separate"/>
    </w:r>
    <w:r w:rsidR="00B36808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DC8" w:rsidRDefault="00CF4DC8" w:rsidP="00EB7CCF">
      <w:r>
        <w:separator/>
      </w:r>
    </w:p>
  </w:footnote>
  <w:footnote w:type="continuationSeparator" w:id="1">
    <w:p w:rsidR="00CF4DC8" w:rsidRDefault="00CF4DC8" w:rsidP="00EB7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CF" w:rsidRDefault="00EB7CC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B53"/>
    <w:rsid w:val="000061D4"/>
    <w:rsid w:val="00006D2E"/>
    <w:rsid w:val="00014D4D"/>
    <w:rsid w:val="000241F5"/>
    <w:rsid w:val="00025199"/>
    <w:rsid w:val="0003186C"/>
    <w:rsid w:val="00031F70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E2D1E"/>
    <w:rsid w:val="000F0444"/>
    <w:rsid w:val="000F08CE"/>
    <w:rsid w:val="000F372F"/>
    <w:rsid w:val="000F3EC1"/>
    <w:rsid w:val="000F6E3B"/>
    <w:rsid w:val="0010196B"/>
    <w:rsid w:val="001073B7"/>
    <w:rsid w:val="00111A65"/>
    <w:rsid w:val="00123491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1648"/>
    <w:rsid w:val="00157164"/>
    <w:rsid w:val="00157244"/>
    <w:rsid w:val="001626A5"/>
    <w:rsid w:val="001633B2"/>
    <w:rsid w:val="0016705F"/>
    <w:rsid w:val="00167FF2"/>
    <w:rsid w:val="00172A27"/>
    <w:rsid w:val="001758F1"/>
    <w:rsid w:val="00177120"/>
    <w:rsid w:val="001829D1"/>
    <w:rsid w:val="00187E26"/>
    <w:rsid w:val="00191908"/>
    <w:rsid w:val="001A03FB"/>
    <w:rsid w:val="001A0BA3"/>
    <w:rsid w:val="001B3374"/>
    <w:rsid w:val="001B3BF9"/>
    <w:rsid w:val="001C0DC1"/>
    <w:rsid w:val="001C3191"/>
    <w:rsid w:val="001C403F"/>
    <w:rsid w:val="001C61D4"/>
    <w:rsid w:val="001D216D"/>
    <w:rsid w:val="001D5F04"/>
    <w:rsid w:val="001E033E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3DC8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DD"/>
    <w:rsid w:val="002700D3"/>
    <w:rsid w:val="00274882"/>
    <w:rsid w:val="002803E9"/>
    <w:rsid w:val="002858EB"/>
    <w:rsid w:val="002873D2"/>
    <w:rsid w:val="00287C7E"/>
    <w:rsid w:val="00290AEA"/>
    <w:rsid w:val="00295984"/>
    <w:rsid w:val="002A5D6D"/>
    <w:rsid w:val="002B136F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702C"/>
    <w:rsid w:val="00311871"/>
    <w:rsid w:val="003136D2"/>
    <w:rsid w:val="00316CA0"/>
    <w:rsid w:val="003205DE"/>
    <w:rsid w:val="00333434"/>
    <w:rsid w:val="00334279"/>
    <w:rsid w:val="00334CB5"/>
    <w:rsid w:val="003360CA"/>
    <w:rsid w:val="00336FB8"/>
    <w:rsid w:val="00340AC7"/>
    <w:rsid w:val="00344B78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4F78"/>
    <w:rsid w:val="003A0A1B"/>
    <w:rsid w:val="003A0A69"/>
    <w:rsid w:val="003A1B18"/>
    <w:rsid w:val="003B6236"/>
    <w:rsid w:val="003B6B84"/>
    <w:rsid w:val="003D03A4"/>
    <w:rsid w:val="003E056A"/>
    <w:rsid w:val="003E4E83"/>
    <w:rsid w:val="003F03AF"/>
    <w:rsid w:val="00402A13"/>
    <w:rsid w:val="00406213"/>
    <w:rsid w:val="00414581"/>
    <w:rsid w:val="00417A58"/>
    <w:rsid w:val="00420821"/>
    <w:rsid w:val="00420F0F"/>
    <w:rsid w:val="00421109"/>
    <w:rsid w:val="004223BC"/>
    <w:rsid w:val="004227B7"/>
    <w:rsid w:val="00423BB7"/>
    <w:rsid w:val="00425399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56563"/>
    <w:rsid w:val="00465087"/>
    <w:rsid w:val="0046607D"/>
    <w:rsid w:val="00471F5E"/>
    <w:rsid w:val="004728FD"/>
    <w:rsid w:val="004741AE"/>
    <w:rsid w:val="004775DF"/>
    <w:rsid w:val="0048169F"/>
    <w:rsid w:val="00481907"/>
    <w:rsid w:val="00485909"/>
    <w:rsid w:val="00491DCD"/>
    <w:rsid w:val="00492B84"/>
    <w:rsid w:val="00493092"/>
    <w:rsid w:val="0049362E"/>
    <w:rsid w:val="00496C82"/>
    <w:rsid w:val="00496DB0"/>
    <w:rsid w:val="00497222"/>
    <w:rsid w:val="004A2609"/>
    <w:rsid w:val="004A2F3E"/>
    <w:rsid w:val="004B128D"/>
    <w:rsid w:val="004B1F8F"/>
    <w:rsid w:val="004C140B"/>
    <w:rsid w:val="004D07E0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10CB3"/>
    <w:rsid w:val="0051322A"/>
    <w:rsid w:val="0052081D"/>
    <w:rsid w:val="00523CAA"/>
    <w:rsid w:val="00525E6C"/>
    <w:rsid w:val="0053232B"/>
    <w:rsid w:val="00547C00"/>
    <w:rsid w:val="00547DD7"/>
    <w:rsid w:val="00550474"/>
    <w:rsid w:val="00555058"/>
    <w:rsid w:val="00555289"/>
    <w:rsid w:val="00555ADF"/>
    <w:rsid w:val="00561045"/>
    <w:rsid w:val="00561C12"/>
    <w:rsid w:val="00566879"/>
    <w:rsid w:val="00566EC1"/>
    <w:rsid w:val="005807CB"/>
    <w:rsid w:val="0058143D"/>
    <w:rsid w:val="0058203E"/>
    <w:rsid w:val="005830CB"/>
    <w:rsid w:val="00586350"/>
    <w:rsid w:val="005870E6"/>
    <w:rsid w:val="005A7D0A"/>
    <w:rsid w:val="005C18A8"/>
    <w:rsid w:val="005D1027"/>
    <w:rsid w:val="005E1542"/>
    <w:rsid w:val="005E5890"/>
    <w:rsid w:val="005E6EBA"/>
    <w:rsid w:val="005F60C1"/>
    <w:rsid w:val="005F704B"/>
    <w:rsid w:val="00603173"/>
    <w:rsid w:val="006067AC"/>
    <w:rsid w:val="006077D7"/>
    <w:rsid w:val="00612150"/>
    <w:rsid w:val="00627D85"/>
    <w:rsid w:val="00633711"/>
    <w:rsid w:val="006373E3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97E0A"/>
    <w:rsid w:val="006A136F"/>
    <w:rsid w:val="006A2673"/>
    <w:rsid w:val="006A4553"/>
    <w:rsid w:val="006A4C50"/>
    <w:rsid w:val="006A500E"/>
    <w:rsid w:val="006A5E79"/>
    <w:rsid w:val="006A71BC"/>
    <w:rsid w:val="006B3028"/>
    <w:rsid w:val="006B4C68"/>
    <w:rsid w:val="006C27A3"/>
    <w:rsid w:val="006C337B"/>
    <w:rsid w:val="006D3302"/>
    <w:rsid w:val="006E3DAE"/>
    <w:rsid w:val="006E56FE"/>
    <w:rsid w:val="006E593F"/>
    <w:rsid w:val="006E6C7B"/>
    <w:rsid w:val="006F0182"/>
    <w:rsid w:val="006F08DF"/>
    <w:rsid w:val="006F114B"/>
    <w:rsid w:val="006F2CEC"/>
    <w:rsid w:val="00706AAB"/>
    <w:rsid w:val="00706BEF"/>
    <w:rsid w:val="00707461"/>
    <w:rsid w:val="007111D3"/>
    <w:rsid w:val="00715BC8"/>
    <w:rsid w:val="00716A3A"/>
    <w:rsid w:val="00725CD3"/>
    <w:rsid w:val="00727765"/>
    <w:rsid w:val="0073119D"/>
    <w:rsid w:val="007327F3"/>
    <w:rsid w:val="00744886"/>
    <w:rsid w:val="00745361"/>
    <w:rsid w:val="00754A7A"/>
    <w:rsid w:val="00755B56"/>
    <w:rsid w:val="00755BCE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266F"/>
    <w:rsid w:val="00793528"/>
    <w:rsid w:val="007A03B7"/>
    <w:rsid w:val="007B2F34"/>
    <w:rsid w:val="007D024B"/>
    <w:rsid w:val="007D4189"/>
    <w:rsid w:val="007D4D37"/>
    <w:rsid w:val="007D635B"/>
    <w:rsid w:val="007D758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65C9B"/>
    <w:rsid w:val="00874BA4"/>
    <w:rsid w:val="008754B7"/>
    <w:rsid w:val="0088590C"/>
    <w:rsid w:val="00886922"/>
    <w:rsid w:val="008912B3"/>
    <w:rsid w:val="00891DAB"/>
    <w:rsid w:val="0089270B"/>
    <w:rsid w:val="008950FD"/>
    <w:rsid w:val="00896912"/>
    <w:rsid w:val="00897058"/>
    <w:rsid w:val="008B32A6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4B0C"/>
    <w:rsid w:val="008E392E"/>
    <w:rsid w:val="008F4D59"/>
    <w:rsid w:val="008F5AAD"/>
    <w:rsid w:val="008F7BC6"/>
    <w:rsid w:val="0090255B"/>
    <w:rsid w:val="00903884"/>
    <w:rsid w:val="00905A4D"/>
    <w:rsid w:val="009147B2"/>
    <w:rsid w:val="00917E3D"/>
    <w:rsid w:val="00924AEC"/>
    <w:rsid w:val="00925181"/>
    <w:rsid w:val="00931700"/>
    <w:rsid w:val="00933375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2304"/>
    <w:rsid w:val="009753AF"/>
    <w:rsid w:val="00975C44"/>
    <w:rsid w:val="0098118F"/>
    <w:rsid w:val="00982535"/>
    <w:rsid w:val="009926A3"/>
    <w:rsid w:val="00992FF9"/>
    <w:rsid w:val="00994774"/>
    <w:rsid w:val="009A0E59"/>
    <w:rsid w:val="009A12DF"/>
    <w:rsid w:val="009B47E6"/>
    <w:rsid w:val="009C0A2C"/>
    <w:rsid w:val="009C3B18"/>
    <w:rsid w:val="009C5966"/>
    <w:rsid w:val="009C6BD6"/>
    <w:rsid w:val="009D1CB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7281"/>
    <w:rsid w:val="00A150BB"/>
    <w:rsid w:val="00A161F3"/>
    <w:rsid w:val="00A231CF"/>
    <w:rsid w:val="00A26056"/>
    <w:rsid w:val="00A417BE"/>
    <w:rsid w:val="00A43886"/>
    <w:rsid w:val="00A4428F"/>
    <w:rsid w:val="00A47C83"/>
    <w:rsid w:val="00A55E40"/>
    <w:rsid w:val="00A6104C"/>
    <w:rsid w:val="00A61C3E"/>
    <w:rsid w:val="00A654C1"/>
    <w:rsid w:val="00A769A8"/>
    <w:rsid w:val="00A77AD2"/>
    <w:rsid w:val="00A807D3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41A1"/>
    <w:rsid w:val="00AE4CBB"/>
    <w:rsid w:val="00AE4FB0"/>
    <w:rsid w:val="00AF3C82"/>
    <w:rsid w:val="00AF4BCC"/>
    <w:rsid w:val="00AF4F93"/>
    <w:rsid w:val="00AF5AF8"/>
    <w:rsid w:val="00B259CC"/>
    <w:rsid w:val="00B3017B"/>
    <w:rsid w:val="00B317D8"/>
    <w:rsid w:val="00B33982"/>
    <w:rsid w:val="00B341D9"/>
    <w:rsid w:val="00B36808"/>
    <w:rsid w:val="00B463F8"/>
    <w:rsid w:val="00B46BD1"/>
    <w:rsid w:val="00B5267A"/>
    <w:rsid w:val="00B53B0B"/>
    <w:rsid w:val="00B56472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7D4B"/>
    <w:rsid w:val="00BA61C6"/>
    <w:rsid w:val="00BA6A9A"/>
    <w:rsid w:val="00BA730B"/>
    <w:rsid w:val="00BC10A1"/>
    <w:rsid w:val="00BC124B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36EA"/>
    <w:rsid w:val="00BF50E9"/>
    <w:rsid w:val="00BF5575"/>
    <w:rsid w:val="00BF6DEF"/>
    <w:rsid w:val="00C009D0"/>
    <w:rsid w:val="00C02A39"/>
    <w:rsid w:val="00C056A1"/>
    <w:rsid w:val="00C06B53"/>
    <w:rsid w:val="00C06EF2"/>
    <w:rsid w:val="00C13A36"/>
    <w:rsid w:val="00C22D2B"/>
    <w:rsid w:val="00C25E10"/>
    <w:rsid w:val="00C27611"/>
    <w:rsid w:val="00C349D4"/>
    <w:rsid w:val="00C434B8"/>
    <w:rsid w:val="00C44B62"/>
    <w:rsid w:val="00C506FD"/>
    <w:rsid w:val="00C513A3"/>
    <w:rsid w:val="00C52D80"/>
    <w:rsid w:val="00C540FA"/>
    <w:rsid w:val="00C574A8"/>
    <w:rsid w:val="00C61712"/>
    <w:rsid w:val="00C61CFA"/>
    <w:rsid w:val="00C66111"/>
    <w:rsid w:val="00C70B7D"/>
    <w:rsid w:val="00C72A78"/>
    <w:rsid w:val="00C73700"/>
    <w:rsid w:val="00C80C20"/>
    <w:rsid w:val="00C900F7"/>
    <w:rsid w:val="00C90873"/>
    <w:rsid w:val="00CA672C"/>
    <w:rsid w:val="00CA7804"/>
    <w:rsid w:val="00CB3A16"/>
    <w:rsid w:val="00CB3A71"/>
    <w:rsid w:val="00CB44C0"/>
    <w:rsid w:val="00CB4D42"/>
    <w:rsid w:val="00CB5407"/>
    <w:rsid w:val="00CB61B7"/>
    <w:rsid w:val="00CB6D97"/>
    <w:rsid w:val="00CC118D"/>
    <w:rsid w:val="00CC139A"/>
    <w:rsid w:val="00CC38D2"/>
    <w:rsid w:val="00CC7274"/>
    <w:rsid w:val="00CD3BEB"/>
    <w:rsid w:val="00CD441F"/>
    <w:rsid w:val="00CD558E"/>
    <w:rsid w:val="00CE4745"/>
    <w:rsid w:val="00CE7973"/>
    <w:rsid w:val="00CF1DC0"/>
    <w:rsid w:val="00CF32C4"/>
    <w:rsid w:val="00CF3728"/>
    <w:rsid w:val="00CF4298"/>
    <w:rsid w:val="00CF4DC8"/>
    <w:rsid w:val="00D10855"/>
    <w:rsid w:val="00D11F6A"/>
    <w:rsid w:val="00D1362A"/>
    <w:rsid w:val="00D21445"/>
    <w:rsid w:val="00D244CE"/>
    <w:rsid w:val="00D30EF8"/>
    <w:rsid w:val="00D36863"/>
    <w:rsid w:val="00D37B23"/>
    <w:rsid w:val="00D462CE"/>
    <w:rsid w:val="00D54071"/>
    <w:rsid w:val="00D64116"/>
    <w:rsid w:val="00D646A5"/>
    <w:rsid w:val="00D7507A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B6EB4"/>
    <w:rsid w:val="00DC21EE"/>
    <w:rsid w:val="00DC4893"/>
    <w:rsid w:val="00DD3243"/>
    <w:rsid w:val="00DD47FB"/>
    <w:rsid w:val="00DD5C14"/>
    <w:rsid w:val="00DE5C0C"/>
    <w:rsid w:val="00DF09B8"/>
    <w:rsid w:val="00DF33F5"/>
    <w:rsid w:val="00DF6CF6"/>
    <w:rsid w:val="00E03892"/>
    <w:rsid w:val="00E04823"/>
    <w:rsid w:val="00E053E3"/>
    <w:rsid w:val="00E062B7"/>
    <w:rsid w:val="00E06747"/>
    <w:rsid w:val="00E06E1C"/>
    <w:rsid w:val="00E10086"/>
    <w:rsid w:val="00E10563"/>
    <w:rsid w:val="00E127CC"/>
    <w:rsid w:val="00E21186"/>
    <w:rsid w:val="00E2603F"/>
    <w:rsid w:val="00E27C90"/>
    <w:rsid w:val="00E304DE"/>
    <w:rsid w:val="00E41470"/>
    <w:rsid w:val="00E418EC"/>
    <w:rsid w:val="00E449FF"/>
    <w:rsid w:val="00E45008"/>
    <w:rsid w:val="00E45F28"/>
    <w:rsid w:val="00E46351"/>
    <w:rsid w:val="00E4693B"/>
    <w:rsid w:val="00E54208"/>
    <w:rsid w:val="00E542ED"/>
    <w:rsid w:val="00E54537"/>
    <w:rsid w:val="00E650CF"/>
    <w:rsid w:val="00E65EE1"/>
    <w:rsid w:val="00E67F71"/>
    <w:rsid w:val="00E71ACD"/>
    <w:rsid w:val="00E720DE"/>
    <w:rsid w:val="00E77AE0"/>
    <w:rsid w:val="00E8510D"/>
    <w:rsid w:val="00E87FD5"/>
    <w:rsid w:val="00E90BB1"/>
    <w:rsid w:val="00E9589A"/>
    <w:rsid w:val="00E962C4"/>
    <w:rsid w:val="00EA2447"/>
    <w:rsid w:val="00EA572E"/>
    <w:rsid w:val="00EA5D03"/>
    <w:rsid w:val="00EB1E9E"/>
    <w:rsid w:val="00EB2293"/>
    <w:rsid w:val="00EB2679"/>
    <w:rsid w:val="00EB2AB2"/>
    <w:rsid w:val="00EB2E41"/>
    <w:rsid w:val="00EB5085"/>
    <w:rsid w:val="00EB5A4E"/>
    <w:rsid w:val="00EB7CCF"/>
    <w:rsid w:val="00ED2126"/>
    <w:rsid w:val="00ED54DF"/>
    <w:rsid w:val="00ED5FB8"/>
    <w:rsid w:val="00ED7F95"/>
    <w:rsid w:val="00EE44D2"/>
    <w:rsid w:val="00EF09B5"/>
    <w:rsid w:val="00F041F6"/>
    <w:rsid w:val="00F06075"/>
    <w:rsid w:val="00F1301E"/>
    <w:rsid w:val="00F13E82"/>
    <w:rsid w:val="00F17A49"/>
    <w:rsid w:val="00F336CE"/>
    <w:rsid w:val="00F43EB7"/>
    <w:rsid w:val="00F47E74"/>
    <w:rsid w:val="00F53633"/>
    <w:rsid w:val="00F546D6"/>
    <w:rsid w:val="00F561FE"/>
    <w:rsid w:val="00F65D0C"/>
    <w:rsid w:val="00F72BCB"/>
    <w:rsid w:val="00F72E7A"/>
    <w:rsid w:val="00F7451A"/>
    <w:rsid w:val="00F839CA"/>
    <w:rsid w:val="00F85FE3"/>
    <w:rsid w:val="00F86DE7"/>
    <w:rsid w:val="00F87E1C"/>
    <w:rsid w:val="00F945F3"/>
    <w:rsid w:val="00F94B0A"/>
    <w:rsid w:val="00F94BE0"/>
    <w:rsid w:val="00FA1131"/>
    <w:rsid w:val="00FA16F5"/>
    <w:rsid w:val="00FA5A82"/>
    <w:rsid w:val="00FB0E66"/>
    <w:rsid w:val="00FB45B4"/>
    <w:rsid w:val="00FD11CF"/>
    <w:rsid w:val="00FD553E"/>
    <w:rsid w:val="00FD5B5E"/>
    <w:rsid w:val="00FD5DAF"/>
    <w:rsid w:val="00FE4A86"/>
    <w:rsid w:val="00FE7959"/>
    <w:rsid w:val="013C106B"/>
    <w:rsid w:val="016B7126"/>
    <w:rsid w:val="016E1B46"/>
    <w:rsid w:val="01775365"/>
    <w:rsid w:val="017A612F"/>
    <w:rsid w:val="018458B7"/>
    <w:rsid w:val="01C9661C"/>
    <w:rsid w:val="01DD7779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AD344B5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0415B61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EA5AF6"/>
    <w:rsid w:val="19F70767"/>
    <w:rsid w:val="1A1500BC"/>
    <w:rsid w:val="1A5078F6"/>
    <w:rsid w:val="1A5C09A8"/>
    <w:rsid w:val="1A6B6634"/>
    <w:rsid w:val="1A76433F"/>
    <w:rsid w:val="1AE118B5"/>
    <w:rsid w:val="1B205433"/>
    <w:rsid w:val="1B380EB6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7B5E15"/>
    <w:rsid w:val="29B51814"/>
    <w:rsid w:val="2A0E66B1"/>
    <w:rsid w:val="2A3D4C50"/>
    <w:rsid w:val="2A4A5C0E"/>
    <w:rsid w:val="2A873E87"/>
    <w:rsid w:val="2AA967DF"/>
    <w:rsid w:val="2B0D5692"/>
    <w:rsid w:val="2B19564E"/>
    <w:rsid w:val="2BBE2BCD"/>
    <w:rsid w:val="2BC66CF8"/>
    <w:rsid w:val="2BE72ADB"/>
    <w:rsid w:val="2BFC1CFF"/>
    <w:rsid w:val="2C281862"/>
    <w:rsid w:val="2C524742"/>
    <w:rsid w:val="2CAC34BC"/>
    <w:rsid w:val="2CBC75EB"/>
    <w:rsid w:val="2CFC4ABE"/>
    <w:rsid w:val="2D5074E1"/>
    <w:rsid w:val="2D5A1C86"/>
    <w:rsid w:val="2D8002B2"/>
    <w:rsid w:val="2D9066E9"/>
    <w:rsid w:val="2D9477FF"/>
    <w:rsid w:val="2DA25C28"/>
    <w:rsid w:val="2DE44453"/>
    <w:rsid w:val="2DFF3D5F"/>
    <w:rsid w:val="2E027D0C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9A687B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902E27"/>
    <w:rsid w:val="35CD0B77"/>
    <w:rsid w:val="360236A7"/>
    <w:rsid w:val="361323A1"/>
    <w:rsid w:val="3658795B"/>
    <w:rsid w:val="365D653F"/>
    <w:rsid w:val="36707912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3C5D0E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3FF51B86"/>
    <w:rsid w:val="400B3480"/>
    <w:rsid w:val="409E11AB"/>
    <w:rsid w:val="40B31750"/>
    <w:rsid w:val="40C703BC"/>
    <w:rsid w:val="40CA020A"/>
    <w:rsid w:val="40D811E7"/>
    <w:rsid w:val="41CE2FC4"/>
    <w:rsid w:val="41D54BEF"/>
    <w:rsid w:val="41EA7BF2"/>
    <w:rsid w:val="41F01680"/>
    <w:rsid w:val="41FF2D0D"/>
    <w:rsid w:val="42E52617"/>
    <w:rsid w:val="42F418E3"/>
    <w:rsid w:val="42F66902"/>
    <w:rsid w:val="431D0717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5A175A6"/>
    <w:rsid w:val="55E92876"/>
    <w:rsid w:val="56013FEC"/>
    <w:rsid w:val="561E5FC5"/>
    <w:rsid w:val="5634240E"/>
    <w:rsid w:val="5662718E"/>
    <w:rsid w:val="57250B4B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273ACF"/>
    <w:rsid w:val="5CCD241F"/>
    <w:rsid w:val="5D284B68"/>
    <w:rsid w:val="5D310BBF"/>
    <w:rsid w:val="5D5C1156"/>
    <w:rsid w:val="5D8328CB"/>
    <w:rsid w:val="5DA135D9"/>
    <w:rsid w:val="5DB95570"/>
    <w:rsid w:val="5DBA4626"/>
    <w:rsid w:val="5DE72293"/>
    <w:rsid w:val="5E4F2EED"/>
    <w:rsid w:val="5E67608C"/>
    <w:rsid w:val="5E8D6A1B"/>
    <w:rsid w:val="5E97133C"/>
    <w:rsid w:val="5EE31824"/>
    <w:rsid w:val="5F1C6805"/>
    <w:rsid w:val="5F3474D5"/>
    <w:rsid w:val="5F887EC9"/>
    <w:rsid w:val="5F944AC0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4725D5"/>
    <w:rsid w:val="655A5778"/>
    <w:rsid w:val="659137C8"/>
    <w:rsid w:val="659E4792"/>
    <w:rsid w:val="65E658B8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631BB2"/>
    <w:rsid w:val="68720D68"/>
    <w:rsid w:val="68F01C1A"/>
    <w:rsid w:val="69037690"/>
    <w:rsid w:val="691822DC"/>
    <w:rsid w:val="692F7D30"/>
    <w:rsid w:val="6958244B"/>
    <w:rsid w:val="696A45EA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9FC52E4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3165D6"/>
    <w:rsid w:val="7E5A7CEB"/>
    <w:rsid w:val="7E7A5BE3"/>
    <w:rsid w:val="7F0777D4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B7CCF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EB7CCF"/>
    <w:rPr>
      <w:sz w:val="18"/>
      <w:szCs w:val="18"/>
    </w:rPr>
  </w:style>
  <w:style w:type="paragraph" w:styleId="a5">
    <w:name w:val="footer"/>
    <w:basedOn w:val="a"/>
    <w:qFormat/>
    <w:rsid w:val="00EB7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B7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EB7C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EB7CCF"/>
  </w:style>
  <w:style w:type="character" w:customStyle="1" w:styleId="Char0">
    <w:name w:val="批注框文本 Char"/>
    <w:link w:val="a4"/>
    <w:qFormat/>
    <w:rsid w:val="00EB7CCF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EB7CCF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EB7CCF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qFormat/>
    <w:rsid w:val="00EB7CCF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EB7CCF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EB7CC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EB7CCF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EB7CCF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C9954-A459-4C60-9579-CD0CC7A9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Company>微软中国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3</cp:revision>
  <cp:lastPrinted>2021-11-19T03:16:00Z</cp:lastPrinted>
  <dcterms:created xsi:type="dcterms:W3CDTF">2021-11-19T06:39:00Z</dcterms:created>
  <dcterms:modified xsi:type="dcterms:W3CDTF">2021-11-23T02:28:00Z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