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6"/>
          <w:rFonts w:ascii="方正小标宋简体" w:eastAsia="方正小标宋简体"/>
          <w:i w:val="0"/>
          <w:color w:val="0070C0"/>
          <w:sz w:val="36"/>
          <w:szCs w:val="36"/>
        </w:rPr>
      </w:pPr>
      <w:r>
        <w:rPr>
          <w:rStyle w:val="16"/>
          <w:rFonts w:hint="eastAsia" w:ascii="方正小标宋简体" w:eastAsia="方正小标宋简体"/>
          <w:i w:val="0"/>
          <w:color w:val="0070C0"/>
          <w:sz w:val="36"/>
          <w:szCs w:val="36"/>
        </w:rPr>
        <w:t>202</w:t>
      </w:r>
      <w:r>
        <w:rPr>
          <w:rStyle w:val="16"/>
          <w:rFonts w:ascii="方正小标宋简体" w:eastAsia="方正小标宋简体"/>
          <w:i w:val="0"/>
          <w:color w:val="0070C0"/>
          <w:sz w:val="36"/>
          <w:szCs w:val="36"/>
        </w:rPr>
        <w:t>2</w:t>
      </w:r>
      <w:r>
        <w:rPr>
          <w:rStyle w:val="16"/>
          <w:rFonts w:hint="eastAsia" w:ascii="方正小标宋简体" w:eastAsia="方正小标宋简体"/>
          <w:i w:val="0"/>
          <w:color w:val="0070C0"/>
          <w:sz w:val="36"/>
          <w:szCs w:val="36"/>
        </w:rPr>
        <w:t>年</w:t>
      </w:r>
      <w:r>
        <w:rPr>
          <w:rStyle w:val="16"/>
          <w:rFonts w:hint="eastAsia" w:ascii="方正小标宋简体" w:eastAsia="方正小标宋简体"/>
          <w:i w:val="0"/>
          <w:color w:val="0070C0"/>
          <w:sz w:val="36"/>
          <w:szCs w:val="36"/>
          <w:lang w:val="en-US" w:eastAsia="zh-CN"/>
        </w:rPr>
        <w:t>1-12月</w:t>
      </w:r>
      <w:bookmarkStart w:id="0" w:name="_GoBack"/>
      <w:bookmarkEnd w:id="0"/>
      <w:r>
        <w:rPr>
          <w:rStyle w:val="16"/>
          <w:rFonts w:hint="eastAsia" w:ascii="方正小标宋简体" w:eastAsia="方正小标宋简体"/>
          <w:i w:val="0"/>
          <w:color w:val="0070C0"/>
          <w:sz w:val="36"/>
          <w:szCs w:val="36"/>
        </w:rPr>
        <w:t>无锡市国民经济运行情况简析</w:t>
      </w:r>
    </w:p>
    <w:p>
      <w:pPr>
        <w:pStyle w:val="2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>
      <w:pPr>
        <w:pStyle w:val="2"/>
        <w:snapToGrid w:val="0"/>
        <w:spacing w:line="360" w:lineRule="auto"/>
        <w:ind w:firstLine="570" w:firstLine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年，全市实现地区生产总值</w:t>
      </w:r>
      <w:r>
        <w:rPr>
          <w:sz w:val="28"/>
          <w:szCs w:val="28"/>
        </w:rPr>
        <w:t>14850.82</w:t>
      </w:r>
      <w:r>
        <w:rPr>
          <w:rFonts w:hint="eastAsia"/>
          <w:sz w:val="28"/>
          <w:szCs w:val="28"/>
        </w:rPr>
        <w:t>亿元，按可比价计算，同比增长</w:t>
      </w:r>
      <w:r>
        <w:rPr>
          <w:sz w:val="28"/>
          <w:szCs w:val="28"/>
        </w:rPr>
        <w:t>3.0</w:t>
      </w:r>
      <w:r>
        <w:rPr>
          <w:rFonts w:hint="eastAsia"/>
          <w:sz w:val="28"/>
          <w:szCs w:val="28"/>
        </w:rPr>
        <w:t>%。分产业看，第一产业增加值</w:t>
      </w:r>
      <w:r>
        <w:rPr>
          <w:sz w:val="28"/>
          <w:szCs w:val="28"/>
        </w:rPr>
        <w:t>133.65</w:t>
      </w:r>
      <w:r>
        <w:rPr>
          <w:rFonts w:hint="eastAsia"/>
          <w:sz w:val="28"/>
          <w:szCs w:val="28"/>
        </w:rPr>
        <w:t>亿元，同比增长</w:t>
      </w:r>
      <w:r>
        <w:rPr>
          <w:sz w:val="28"/>
          <w:szCs w:val="28"/>
        </w:rPr>
        <w:t>1.1</w:t>
      </w:r>
      <w:r>
        <w:rPr>
          <w:rFonts w:hint="eastAsia"/>
          <w:sz w:val="28"/>
          <w:szCs w:val="28"/>
        </w:rPr>
        <w:t>%；第二产业增加值</w:t>
      </w:r>
      <w:r>
        <w:rPr>
          <w:sz w:val="28"/>
          <w:szCs w:val="28"/>
        </w:rPr>
        <w:t>7177.39</w:t>
      </w:r>
      <w:r>
        <w:rPr>
          <w:rFonts w:hint="eastAsia"/>
          <w:sz w:val="28"/>
          <w:szCs w:val="28"/>
        </w:rPr>
        <w:t>亿元，同比增长</w:t>
      </w:r>
      <w:r>
        <w:rPr>
          <w:sz w:val="28"/>
          <w:szCs w:val="28"/>
        </w:rPr>
        <w:t>3.6</w:t>
      </w:r>
      <w:r>
        <w:rPr>
          <w:rFonts w:hint="eastAsia"/>
          <w:sz w:val="28"/>
          <w:szCs w:val="28"/>
        </w:rPr>
        <w:t>%；第三产业增加值</w:t>
      </w:r>
      <w:r>
        <w:rPr>
          <w:sz w:val="28"/>
          <w:szCs w:val="28"/>
        </w:rPr>
        <w:t>7539.78</w:t>
      </w:r>
      <w:r>
        <w:rPr>
          <w:rFonts w:hint="eastAsia"/>
          <w:sz w:val="28"/>
          <w:szCs w:val="28"/>
        </w:rPr>
        <w:t>亿元，同比增长</w:t>
      </w:r>
      <w:r>
        <w:rPr>
          <w:sz w:val="28"/>
          <w:szCs w:val="28"/>
        </w:rPr>
        <w:t>2.4</w:t>
      </w:r>
      <w:r>
        <w:rPr>
          <w:rFonts w:hint="eastAsia"/>
          <w:sz w:val="28"/>
          <w:szCs w:val="28"/>
        </w:rPr>
        <w:t>%。</w:t>
      </w:r>
    </w:p>
    <w:p>
      <w:pPr>
        <w:pStyle w:val="2"/>
        <w:snapToGrid w:val="0"/>
        <w:spacing w:line="360" w:lineRule="auto"/>
        <w:ind w:firstLine="0" w:firstLine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一、工业生产 </w:t>
      </w:r>
    </w:p>
    <w:p>
      <w:pPr>
        <w:pStyle w:val="2"/>
        <w:tabs>
          <w:tab w:val="left" w:pos="567"/>
          <w:tab w:val="left" w:pos="851"/>
        </w:tabs>
        <w:snapToGrid w:val="0"/>
        <w:spacing w:line="360" w:lineRule="auto"/>
        <w:ind w:firstLine="0" w:firstLine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年，</w:t>
      </w:r>
      <w:r>
        <w:rPr>
          <w:sz w:val="28"/>
          <w:szCs w:val="28"/>
        </w:rPr>
        <w:t>全市</w:t>
      </w:r>
      <w:r>
        <w:rPr>
          <w:rFonts w:hint="eastAsia"/>
          <w:sz w:val="28"/>
          <w:szCs w:val="28"/>
        </w:rPr>
        <w:t>规模以上</w:t>
      </w:r>
      <w:r>
        <w:rPr>
          <w:sz w:val="28"/>
          <w:szCs w:val="28"/>
        </w:rPr>
        <w:t>工业增加值5585.97亿元，同比</w:t>
      </w:r>
      <w:r>
        <w:rPr>
          <w:rFonts w:hint="eastAsia"/>
          <w:sz w:val="28"/>
          <w:szCs w:val="28"/>
        </w:rPr>
        <w:t>增长</w:t>
      </w:r>
      <w:r>
        <w:rPr>
          <w:sz w:val="28"/>
          <w:szCs w:val="28"/>
        </w:rPr>
        <w:t>5.4%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  <w:lang w:val="zh-CN"/>
        </w:rPr>
      </w:pPr>
      <w:r>
        <w:rPr>
          <w:sz w:val="28"/>
          <w:szCs w:val="28"/>
        </w:rPr>
        <w:t>从工业产销看，全市规模以上工业产销率为94.90%。30种重点产品中8种产品产量实现正增长，其中</w:t>
      </w:r>
      <w:r>
        <w:rPr>
          <w:sz w:val="28"/>
          <w:szCs w:val="28"/>
          <w:lang w:val="zh-CN"/>
        </w:rPr>
        <w:t>装备制造工业中的</w:t>
      </w:r>
      <w:r>
        <w:rPr>
          <w:rFonts w:hint="eastAsia"/>
          <w:sz w:val="28"/>
          <w:szCs w:val="28"/>
          <w:lang w:val="zh-CN"/>
        </w:rPr>
        <w:t>电力电缆</w:t>
      </w:r>
      <w:r>
        <w:rPr>
          <w:sz w:val="28"/>
          <w:szCs w:val="28"/>
          <w:lang w:val="zh-CN"/>
        </w:rPr>
        <w:t>、</w:t>
      </w:r>
      <w:r>
        <w:rPr>
          <w:rFonts w:hint="eastAsia"/>
          <w:sz w:val="28"/>
          <w:szCs w:val="28"/>
          <w:lang w:val="zh-CN"/>
        </w:rPr>
        <w:t>光纤</w:t>
      </w:r>
      <w:r>
        <w:rPr>
          <w:sz w:val="28"/>
          <w:szCs w:val="28"/>
          <w:lang w:val="zh-CN"/>
        </w:rPr>
        <w:t>同比分别增长33.6%、28.1%；消费品工业中的</w:t>
      </w:r>
      <w:r>
        <w:rPr>
          <w:rFonts w:hint="eastAsia"/>
          <w:sz w:val="28"/>
          <w:szCs w:val="28"/>
          <w:lang w:val="zh-CN"/>
        </w:rPr>
        <w:t>电动自行车</w:t>
      </w:r>
      <w:r>
        <w:rPr>
          <w:sz w:val="28"/>
          <w:szCs w:val="28"/>
          <w:lang w:val="zh-CN"/>
        </w:rPr>
        <w:t>、</w:t>
      </w:r>
      <w:r>
        <w:rPr>
          <w:rFonts w:hint="eastAsia"/>
          <w:sz w:val="28"/>
          <w:szCs w:val="28"/>
          <w:lang w:val="zh-CN"/>
        </w:rPr>
        <w:t>呢绒</w:t>
      </w:r>
      <w:r>
        <w:rPr>
          <w:sz w:val="28"/>
          <w:szCs w:val="28"/>
          <w:lang w:val="zh-CN"/>
        </w:rPr>
        <w:t>、</w:t>
      </w:r>
      <w:r>
        <w:rPr>
          <w:rFonts w:hint="eastAsia"/>
          <w:sz w:val="28"/>
          <w:szCs w:val="28"/>
          <w:lang w:val="zh-CN"/>
        </w:rPr>
        <w:t>合成纤维聚合物、民用</w:t>
      </w:r>
      <w:r>
        <w:rPr>
          <w:sz w:val="28"/>
          <w:szCs w:val="28"/>
          <w:lang w:val="zh-CN"/>
        </w:rPr>
        <w:t>钢质</w:t>
      </w:r>
      <w:r>
        <w:rPr>
          <w:rFonts w:hint="eastAsia"/>
          <w:sz w:val="28"/>
          <w:szCs w:val="28"/>
          <w:lang w:val="zh-CN"/>
        </w:rPr>
        <w:t>船舶</w:t>
      </w:r>
      <w:r>
        <w:rPr>
          <w:sz w:val="28"/>
          <w:szCs w:val="28"/>
          <w:lang w:val="zh-CN"/>
        </w:rPr>
        <w:t>、化学纤维</w:t>
      </w:r>
      <w:r>
        <w:rPr>
          <w:rFonts w:hint="eastAsia"/>
          <w:sz w:val="28"/>
          <w:szCs w:val="28"/>
          <w:lang w:val="zh-CN"/>
        </w:rPr>
        <w:t>产量</w:t>
      </w:r>
      <w:r>
        <w:rPr>
          <w:sz w:val="28"/>
          <w:szCs w:val="28"/>
          <w:lang w:val="zh-CN"/>
        </w:rPr>
        <w:t>同比分别增长19.1%、</w:t>
      </w:r>
      <w:r>
        <w:rPr>
          <w:sz w:val="28"/>
          <w:szCs w:val="28"/>
        </w:rPr>
        <w:t>13.6</w:t>
      </w:r>
      <w:r>
        <w:rPr>
          <w:sz w:val="28"/>
          <w:szCs w:val="28"/>
          <w:lang w:val="zh-CN"/>
        </w:rPr>
        <w:t>%、</w:t>
      </w:r>
      <w:r>
        <w:rPr>
          <w:sz w:val="28"/>
          <w:szCs w:val="28"/>
        </w:rPr>
        <w:t>6.1</w:t>
      </w:r>
      <w:r>
        <w:rPr>
          <w:sz w:val="28"/>
          <w:szCs w:val="28"/>
          <w:lang w:val="zh-CN"/>
        </w:rPr>
        <w:t>%</w:t>
      </w:r>
      <w:r>
        <w:rPr>
          <w:rFonts w:hint="eastAsia"/>
          <w:sz w:val="28"/>
          <w:szCs w:val="28"/>
          <w:lang w:val="zh-CN"/>
        </w:rPr>
        <w:t>、</w:t>
      </w:r>
      <w:r>
        <w:rPr>
          <w:sz w:val="28"/>
          <w:szCs w:val="28"/>
          <w:lang w:val="zh-CN"/>
        </w:rPr>
        <w:t>5.8%</w:t>
      </w:r>
      <w:r>
        <w:rPr>
          <w:rFonts w:hint="eastAsia"/>
          <w:sz w:val="28"/>
          <w:szCs w:val="28"/>
          <w:lang w:val="zh-CN"/>
        </w:rPr>
        <w:t>、4.1</w:t>
      </w:r>
      <w:r>
        <w:rPr>
          <w:sz w:val="28"/>
          <w:szCs w:val="28"/>
          <w:lang w:val="zh-CN"/>
        </w:rPr>
        <w:t>%。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二、固定资产投资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年，</w:t>
      </w:r>
      <w:r>
        <w:rPr>
          <w:sz w:val="28"/>
          <w:szCs w:val="28"/>
        </w:rPr>
        <w:t>全市完成固定资产投资4073.54</w:t>
      </w:r>
      <w:r>
        <w:rPr>
          <w:rFonts w:hint="eastAsia"/>
          <w:sz w:val="28"/>
          <w:szCs w:val="28"/>
        </w:rPr>
        <w:t>亿元，同比增长</w:t>
      </w:r>
      <w:r>
        <w:rPr>
          <w:sz w:val="28"/>
          <w:szCs w:val="28"/>
        </w:rPr>
        <w:t>2.2</w:t>
      </w:r>
      <w:r>
        <w:rPr>
          <w:rFonts w:hint="eastAsia"/>
          <w:sz w:val="28"/>
          <w:szCs w:val="28"/>
        </w:rPr>
        <w:t>%</w:t>
      </w:r>
      <w:r>
        <w:rPr>
          <w:sz w:val="28"/>
          <w:szCs w:val="28"/>
        </w:rPr>
        <w:t>，其中工业</w:t>
      </w:r>
      <w:r>
        <w:rPr>
          <w:rFonts w:hint="eastAsia"/>
          <w:sz w:val="28"/>
          <w:szCs w:val="28"/>
        </w:rPr>
        <w:t>投资</w:t>
      </w:r>
      <w:r>
        <w:rPr>
          <w:sz w:val="28"/>
          <w:szCs w:val="28"/>
        </w:rPr>
        <w:t>1565.60亿元，同比</w:t>
      </w:r>
      <w:r>
        <w:rPr>
          <w:rFonts w:hint="eastAsia"/>
          <w:sz w:val="28"/>
          <w:szCs w:val="28"/>
        </w:rPr>
        <w:t>增长</w:t>
      </w:r>
      <w:r>
        <w:rPr>
          <w:sz w:val="28"/>
          <w:szCs w:val="28"/>
        </w:rPr>
        <w:t>0.2%。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  <w:highlight w:val="yellow"/>
        </w:rPr>
      </w:pPr>
      <w:r>
        <w:rPr>
          <w:sz w:val="28"/>
          <w:szCs w:val="28"/>
        </w:rPr>
        <w:t>从产业投向看，第二产业</w:t>
      </w:r>
      <w:r>
        <w:rPr>
          <w:rFonts w:hint="eastAsia"/>
          <w:sz w:val="28"/>
          <w:szCs w:val="28"/>
        </w:rPr>
        <w:t>完成投资</w:t>
      </w:r>
      <w:r>
        <w:rPr>
          <w:sz w:val="28"/>
          <w:szCs w:val="28"/>
        </w:rPr>
        <w:t>1565.60</w:t>
      </w:r>
      <w:r>
        <w:rPr>
          <w:rFonts w:hint="eastAsia"/>
          <w:sz w:val="28"/>
          <w:szCs w:val="28"/>
        </w:rPr>
        <w:t>亿元，</w:t>
      </w:r>
      <w:r>
        <w:rPr>
          <w:sz w:val="28"/>
          <w:szCs w:val="28"/>
        </w:rPr>
        <w:t>同比</w:t>
      </w:r>
      <w:r>
        <w:rPr>
          <w:rFonts w:hint="eastAsia"/>
          <w:sz w:val="28"/>
          <w:szCs w:val="28"/>
        </w:rPr>
        <w:t>增长</w:t>
      </w:r>
      <w:r>
        <w:rPr>
          <w:sz w:val="28"/>
          <w:szCs w:val="28"/>
        </w:rPr>
        <w:t>0.2%，其中工业技改</w:t>
      </w:r>
      <w:r>
        <w:rPr>
          <w:rFonts w:hint="eastAsia"/>
          <w:sz w:val="28"/>
          <w:szCs w:val="28"/>
        </w:rPr>
        <w:t>投资</w:t>
      </w:r>
      <w:r>
        <w:rPr>
          <w:sz w:val="28"/>
          <w:szCs w:val="28"/>
        </w:rPr>
        <w:t>874.34</w:t>
      </w:r>
      <w:r>
        <w:rPr>
          <w:rFonts w:hint="eastAsia"/>
          <w:sz w:val="28"/>
          <w:szCs w:val="28"/>
        </w:rPr>
        <w:t>亿元</w:t>
      </w:r>
      <w:r>
        <w:rPr>
          <w:sz w:val="28"/>
          <w:szCs w:val="28"/>
        </w:rPr>
        <w:t>，同比下降3.9%。第三产业</w:t>
      </w: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投资2505.61亿元，同比</w:t>
      </w:r>
      <w:r>
        <w:rPr>
          <w:rFonts w:hint="eastAsia"/>
          <w:sz w:val="28"/>
          <w:szCs w:val="28"/>
        </w:rPr>
        <w:t>增长</w:t>
      </w:r>
      <w:r>
        <w:rPr>
          <w:sz w:val="28"/>
          <w:szCs w:val="28"/>
        </w:rPr>
        <w:t>3.6%，其中房地产开发投资1386.79</w:t>
      </w:r>
      <w:r>
        <w:rPr>
          <w:rFonts w:hint="eastAsia"/>
          <w:sz w:val="28"/>
          <w:szCs w:val="28"/>
        </w:rPr>
        <w:t>亿元</w:t>
      </w:r>
      <w:r>
        <w:rPr>
          <w:sz w:val="28"/>
          <w:szCs w:val="28"/>
        </w:rPr>
        <w:t>，同比</w:t>
      </w:r>
      <w:r>
        <w:rPr>
          <w:rFonts w:hint="eastAsia"/>
          <w:sz w:val="28"/>
          <w:szCs w:val="28"/>
        </w:rPr>
        <w:t>下降</w:t>
      </w:r>
      <w:r>
        <w:rPr>
          <w:sz w:val="28"/>
          <w:szCs w:val="28"/>
        </w:rPr>
        <w:t>11.6%。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三、消费品市场</w:t>
      </w:r>
    </w:p>
    <w:p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年，全市实现社会消费品零售总额</w:t>
      </w:r>
      <w:r>
        <w:rPr>
          <w:sz w:val="28"/>
          <w:szCs w:val="28"/>
        </w:rPr>
        <w:t>3337.60</w:t>
      </w:r>
      <w:r>
        <w:rPr>
          <w:rFonts w:hint="eastAsia"/>
          <w:sz w:val="28"/>
          <w:szCs w:val="28"/>
        </w:rPr>
        <w:t>亿元，同比增长</w:t>
      </w:r>
      <w:r>
        <w:rPr>
          <w:sz w:val="28"/>
          <w:szCs w:val="28"/>
        </w:rPr>
        <w:t>1.0</w:t>
      </w:r>
      <w:r>
        <w:rPr>
          <w:rFonts w:hint="eastAsia"/>
          <w:sz w:val="28"/>
          <w:szCs w:val="28"/>
        </w:rPr>
        <w:t>%。从大类商品限上零售额来看，日用品</w:t>
      </w:r>
      <w:r>
        <w:rPr>
          <w:sz w:val="28"/>
          <w:szCs w:val="28"/>
        </w:rPr>
        <w:t>类、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西药品类、</w:t>
      </w:r>
      <w:r>
        <w:rPr>
          <w:rFonts w:hint="eastAsia"/>
          <w:sz w:val="28"/>
          <w:szCs w:val="28"/>
        </w:rPr>
        <w:t>金银珠宝类</w:t>
      </w:r>
      <w:r>
        <w:rPr>
          <w:sz w:val="28"/>
          <w:szCs w:val="28"/>
        </w:rPr>
        <w:t>、化妆品</w:t>
      </w:r>
      <w:r>
        <w:rPr>
          <w:rFonts w:hint="eastAsia"/>
          <w:sz w:val="28"/>
          <w:szCs w:val="28"/>
        </w:rPr>
        <w:t>类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家具</w:t>
      </w:r>
      <w:r>
        <w:rPr>
          <w:sz w:val="28"/>
          <w:szCs w:val="28"/>
        </w:rPr>
        <w:t>类表现突出</w:t>
      </w:r>
      <w:r>
        <w:rPr>
          <w:rFonts w:hint="eastAsia"/>
          <w:sz w:val="28"/>
          <w:szCs w:val="28"/>
        </w:rPr>
        <w:t>，同比分别</w:t>
      </w:r>
      <w:r>
        <w:rPr>
          <w:sz w:val="28"/>
          <w:szCs w:val="28"/>
        </w:rPr>
        <w:t>增长29.4%</w:t>
      </w:r>
      <w:r>
        <w:rPr>
          <w:rFonts w:hint="eastAsia"/>
          <w:sz w:val="28"/>
          <w:szCs w:val="28"/>
        </w:rPr>
        <w:t>%、</w:t>
      </w:r>
      <w:r>
        <w:rPr>
          <w:sz w:val="28"/>
          <w:szCs w:val="28"/>
        </w:rPr>
        <w:t>21.8</w:t>
      </w:r>
      <w:r>
        <w:rPr>
          <w:rFonts w:hint="eastAsia"/>
          <w:sz w:val="28"/>
          <w:szCs w:val="28"/>
        </w:rPr>
        <w:t>%、</w:t>
      </w:r>
      <w:r>
        <w:rPr>
          <w:sz w:val="28"/>
          <w:szCs w:val="28"/>
        </w:rPr>
        <w:t>15.3</w:t>
      </w:r>
      <w:r>
        <w:rPr>
          <w:rFonts w:hint="eastAsia"/>
          <w:sz w:val="28"/>
          <w:szCs w:val="28"/>
        </w:rPr>
        <w:t>%、13.8</w:t>
      </w:r>
      <w:r>
        <w:rPr>
          <w:sz w:val="28"/>
          <w:szCs w:val="28"/>
        </w:rPr>
        <w:t>%、</w:t>
      </w:r>
      <w:r>
        <w:rPr>
          <w:rFonts w:hint="eastAsia"/>
          <w:sz w:val="28"/>
          <w:szCs w:val="28"/>
        </w:rPr>
        <w:t>13.7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四、对外贸易</w:t>
      </w:r>
    </w:p>
    <w:p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年，</w:t>
      </w:r>
      <w:r>
        <w:rPr>
          <w:sz w:val="28"/>
          <w:szCs w:val="28"/>
        </w:rPr>
        <w:t>全市实现进出口总</w:t>
      </w:r>
      <w:r>
        <w:rPr>
          <w:rFonts w:hint="eastAsia"/>
          <w:sz w:val="28"/>
          <w:szCs w:val="28"/>
        </w:rPr>
        <w:t>值</w:t>
      </w:r>
      <w:r>
        <w:rPr>
          <w:sz w:val="28"/>
          <w:szCs w:val="28"/>
        </w:rPr>
        <w:t>7373.07</w:t>
      </w:r>
      <w:r>
        <w:rPr>
          <w:rFonts w:hint="eastAsia"/>
          <w:sz w:val="28"/>
          <w:szCs w:val="28"/>
        </w:rPr>
        <w:t>亿元，同比增长</w:t>
      </w:r>
      <w:r>
        <w:rPr>
          <w:sz w:val="28"/>
          <w:szCs w:val="28"/>
        </w:rPr>
        <w:t>8.0</w:t>
      </w:r>
      <w:r>
        <w:rPr>
          <w:rFonts w:hint="eastAsia"/>
          <w:sz w:val="28"/>
          <w:szCs w:val="28"/>
        </w:rPr>
        <w:t>%。</w:t>
      </w:r>
      <w:r>
        <w:rPr>
          <w:sz w:val="28"/>
          <w:szCs w:val="28"/>
        </w:rPr>
        <w:t>其中出口总</w:t>
      </w:r>
      <w:r>
        <w:rPr>
          <w:rFonts w:hint="eastAsia"/>
          <w:sz w:val="28"/>
          <w:szCs w:val="28"/>
        </w:rPr>
        <w:t>值</w:t>
      </w:r>
      <w:r>
        <w:rPr>
          <w:sz w:val="28"/>
          <w:szCs w:val="28"/>
        </w:rPr>
        <w:t>4852.64</w:t>
      </w:r>
      <w:r>
        <w:rPr>
          <w:rFonts w:hint="eastAsia"/>
          <w:sz w:val="28"/>
          <w:szCs w:val="28"/>
        </w:rPr>
        <w:t>亿元，同比增长</w:t>
      </w:r>
      <w:r>
        <w:rPr>
          <w:sz w:val="28"/>
          <w:szCs w:val="28"/>
        </w:rPr>
        <w:t>15.0</w:t>
      </w:r>
      <w:r>
        <w:rPr>
          <w:rFonts w:hint="eastAsia"/>
          <w:sz w:val="28"/>
          <w:szCs w:val="28"/>
        </w:rPr>
        <w:t>%；进口</w:t>
      </w:r>
      <w:r>
        <w:rPr>
          <w:sz w:val="28"/>
          <w:szCs w:val="28"/>
        </w:rPr>
        <w:t>总</w:t>
      </w:r>
      <w:r>
        <w:rPr>
          <w:rFonts w:hint="eastAsia"/>
          <w:sz w:val="28"/>
          <w:szCs w:val="28"/>
        </w:rPr>
        <w:t>值</w:t>
      </w:r>
      <w:r>
        <w:rPr>
          <w:sz w:val="28"/>
          <w:szCs w:val="28"/>
        </w:rPr>
        <w:t>2520.44</w:t>
      </w:r>
      <w:r>
        <w:rPr>
          <w:rFonts w:hint="eastAsia"/>
          <w:sz w:val="28"/>
          <w:szCs w:val="28"/>
        </w:rPr>
        <w:t>亿元，同比下降</w:t>
      </w:r>
      <w:r>
        <w:rPr>
          <w:sz w:val="28"/>
          <w:szCs w:val="28"/>
        </w:rPr>
        <w:t>3.3</w:t>
      </w:r>
      <w:r>
        <w:rPr>
          <w:rFonts w:hint="eastAsia"/>
          <w:sz w:val="28"/>
          <w:szCs w:val="28"/>
        </w:rPr>
        <w:t>%</w:t>
      </w:r>
      <w:r>
        <w:rPr>
          <w:sz w:val="28"/>
          <w:szCs w:val="28"/>
        </w:rPr>
        <w:t>。以</w:t>
      </w:r>
      <w:r>
        <w:rPr>
          <w:rFonts w:hint="eastAsia"/>
          <w:sz w:val="28"/>
          <w:szCs w:val="28"/>
        </w:rPr>
        <w:t>美元</w:t>
      </w:r>
      <w:r>
        <w:rPr>
          <w:sz w:val="28"/>
          <w:szCs w:val="28"/>
        </w:rPr>
        <w:t>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进出口、出口、进口总</w:t>
      </w:r>
      <w:r>
        <w:rPr>
          <w:rFonts w:hint="eastAsia"/>
          <w:sz w:val="28"/>
          <w:szCs w:val="28"/>
        </w:rPr>
        <w:t>值</w:t>
      </w:r>
      <w:r>
        <w:rPr>
          <w:sz w:val="28"/>
          <w:szCs w:val="28"/>
        </w:rPr>
        <w:t>同比</w:t>
      </w:r>
      <w:r>
        <w:rPr>
          <w:rFonts w:hint="eastAsia"/>
          <w:sz w:val="28"/>
          <w:szCs w:val="28"/>
        </w:rPr>
        <w:t>增速</w:t>
      </w:r>
      <w:r>
        <w:rPr>
          <w:sz w:val="28"/>
          <w:szCs w:val="28"/>
        </w:rPr>
        <w:t>分别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4.7%、11.4%、-6.1%。</w:t>
      </w:r>
    </w:p>
    <w:p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从贸易方式看，全市一般贸易出口2937.13亿元，同比</w:t>
      </w:r>
      <w:r>
        <w:rPr>
          <w:rFonts w:hint="eastAsia"/>
          <w:sz w:val="28"/>
          <w:szCs w:val="28"/>
        </w:rPr>
        <w:t>增长</w:t>
      </w:r>
      <w:r>
        <w:rPr>
          <w:sz w:val="28"/>
          <w:szCs w:val="28"/>
        </w:rPr>
        <w:t>16.5%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加工贸易出口1626.75亿元，同比</w:t>
      </w:r>
      <w:r>
        <w:rPr>
          <w:rFonts w:hint="eastAsia"/>
          <w:sz w:val="28"/>
          <w:szCs w:val="28"/>
        </w:rPr>
        <w:t>增长</w:t>
      </w:r>
      <w:r>
        <w:rPr>
          <w:sz w:val="28"/>
          <w:szCs w:val="28"/>
        </w:rPr>
        <w:t>15.5%。</w:t>
      </w:r>
    </w:p>
    <w:p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五、金融</w:t>
      </w:r>
      <w:r>
        <w:rPr>
          <w:rFonts w:hint="eastAsia"/>
          <w:sz w:val="28"/>
          <w:szCs w:val="28"/>
        </w:rPr>
        <w:t>机构</w:t>
      </w:r>
    </w:p>
    <w:p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截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12月末，全市金融机构</w:t>
      </w:r>
      <w:r>
        <w:rPr>
          <w:rFonts w:hint="eastAsia"/>
          <w:sz w:val="28"/>
          <w:szCs w:val="28"/>
        </w:rPr>
        <w:t>本外币</w:t>
      </w:r>
      <w:r>
        <w:rPr>
          <w:sz w:val="28"/>
          <w:szCs w:val="28"/>
        </w:rPr>
        <w:t>存款余额为24438.57</w:t>
      </w:r>
      <w:r>
        <w:rPr>
          <w:rFonts w:hint="eastAsia"/>
          <w:sz w:val="28"/>
          <w:szCs w:val="28"/>
        </w:rPr>
        <w:t>亿元，同比增长</w:t>
      </w:r>
      <w:r>
        <w:rPr>
          <w:sz w:val="28"/>
          <w:szCs w:val="28"/>
        </w:rPr>
        <w:t>14.5</w:t>
      </w:r>
      <w:r>
        <w:rPr>
          <w:rFonts w:hint="eastAsia"/>
          <w:sz w:val="28"/>
          <w:szCs w:val="28"/>
        </w:rPr>
        <w:t>%；</w:t>
      </w:r>
      <w:r>
        <w:rPr>
          <w:sz w:val="28"/>
          <w:szCs w:val="28"/>
        </w:rPr>
        <w:t>金融机构</w:t>
      </w:r>
      <w:r>
        <w:rPr>
          <w:rFonts w:hint="eastAsia"/>
          <w:sz w:val="28"/>
          <w:szCs w:val="28"/>
        </w:rPr>
        <w:t>本外币</w:t>
      </w:r>
      <w:r>
        <w:rPr>
          <w:sz w:val="28"/>
          <w:szCs w:val="28"/>
        </w:rPr>
        <w:t>贷款余额为19879.67</w:t>
      </w:r>
      <w:r>
        <w:rPr>
          <w:rFonts w:hint="eastAsia"/>
          <w:sz w:val="28"/>
          <w:szCs w:val="28"/>
        </w:rPr>
        <w:t>亿元，同比增长</w:t>
      </w:r>
      <w:r>
        <w:rPr>
          <w:sz w:val="28"/>
          <w:szCs w:val="28"/>
        </w:rPr>
        <w:t>13.9</w:t>
      </w:r>
      <w:r>
        <w:rPr>
          <w:rFonts w:hint="eastAsia"/>
          <w:sz w:val="28"/>
          <w:szCs w:val="28"/>
        </w:rPr>
        <w:t>%。</w:t>
      </w:r>
    </w:p>
    <w:p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六、市场物价</w:t>
      </w:r>
    </w:p>
    <w:p>
      <w:pPr>
        <w:snapToGrid w:val="0"/>
        <w:spacing w:line="360" w:lineRule="auto"/>
        <w:ind w:firstLine="570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年，</w:t>
      </w:r>
      <w:r>
        <w:rPr>
          <w:sz w:val="28"/>
          <w:szCs w:val="28"/>
        </w:rPr>
        <w:t>居民消费价格总水平（CPI）为102.1，市场物价上涨2.1%。从调查的八大类商品和服务价格来看，与上年同期相比，</w:t>
      </w:r>
      <w:r>
        <w:rPr>
          <w:rFonts w:hint="eastAsia"/>
          <w:sz w:val="28"/>
          <w:szCs w:val="28"/>
        </w:rPr>
        <w:t>均呈现</w:t>
      </w:r>
      <w:r>
        <w:rPr>
          <w:sz w:val="28"/>
          <w:szCs w:val="28"/>
        </w:rPr>
        <w:t>上涨态势</w:t>
      </w:r>
      <w:r>
        <w:rPr>
          <w:rFonts w:hint="eastAsia"/>
          <w:sz w:val="28"/>
          <w:szCs w:val="28"/>
        </w:rPr>
        <w:t>。指数</w:t>
      </w:r>
      <w:r>
        <w:rPr>
          <w:sz w:val="28"/>
          <w:szCs w:val="28"/>
        </w:rPr>
        <w:t>涨幅较高的是</w:t>
      </w:r>
      <w:r>
        <w:rPr>
          <w:rFonts w:hint="eastAsia"/>
          <w:sz w:val="28"/>
          <w:szCs w:val="28"/>
        </w:rPr>
        <w:t>交通通信</w:t>
      </w:r>
      <w:r>
        <w:rPr>
          <w:sz w:val="28"/>
          <w:szCs w:val="28"/>
        </w:rPr>
        <w:t>类，</w:t>
      </w:r>
      <w:r>
        <w:rPr>
          <w:rFonts w:hint="eastAsia"/>
          <w:sz w:val="28"/>
          <w:szCs w:val="28"/>
        </w:rPr>
        <w:t>上涨</w:t>
      </w:r>
      <w:r>
        <w:rPr>
          <w:sz w:val="28"/>
          <w:szCs w:val="28"/>
        </w:rPr>
        <w:t>5.6%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食品烟酒类</w:t>
      </w:r>
      <w:r>
        <w:rPr>
          <w:rFonts w:hint="eastAsia"/>
          <w:sz w:val="28"/>
          <w:szCs w:val="28"/>
        </w:rPr>
        <w:t>上涨</w:t>
      </w:r>
      <w:r>
        <w:rPr>
          <w:sz w:val="28"/>
          <w:szCs w:val="28"/>
        </w:rPr>
        <w:t>2.5%</w:t>
      </w:r>
      <w:r>
        <w:rPr>
          <w:rFonts w:hint="eastAsia"/>
          <w:sz w:val="28"/>
          <w:szCs w:val="28"/>
        </w:rPr>
        <w:t>；生活用品</w:t>
      </w:r>
      <w:r>
        <w:rPr>
          <w:sz w:val="28"/>
          <w:szCs w:val="28"/>
        </w:rPr>
        <w:t>及服务</w:t>
      </w:r>
      <w:r>
        <w:rPr>
          <w:rFonts w:hint="eastAsia"/>
          <w:sz w:val="28"/>
          <w:szCs w:val="28"/>
        </w:rPr>
        <w:t>类上涨</w:t>
      </w:r>
      <w:r>
        <w:rPr>
          <w:sz w:val="28"/>
          <w:szCs w:val="28"/>
        </w:rPr>
        <w:t>2.2%</w:t>
      </w:r>
      <w:r>
        <w:rPr>
          <w:rFonts w:hint="eastAsia"/>
          <w:sz w:val="28"/>
          <w:szCs w:val="28"/>
        </w:rPr>
        <w:t>；医疗保健类上涨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.9%；其他用品</w:t>
      </w:r>
      <w:r>
        <w:rPr>
          <w:sz w:val="28"/>
          <w:szCs w:val="28"/>
        </w:rPr>
        <w:t>及服务类</w:t>
      </w:r>
      <w:r>
        <w:rPr>
          <w:rFonts w:hint="eastAsia"/>
          <w:sz w:val="28"/>
          <w:szCs w:val="28"/>
        </w:rPr>
        <w:t>上涨1.2</w:t>
      </w:r>
      <w:r>
        <w:rPr>
          <w:sz w:val="28"/>
          <w:szCs w:val="28"/>
        </w:rPr>
        <w:t>%；</w:t>
      </w:r>
      <w:r>
        <w:rPr>
          <w:rFonts w:hint="eastAsia"/>
          <w:sz w:val="28"/>
          <w:szCs w:val="28"/>
        </w:rPr>
        <w:t>居住类</w:t>
      </w:r>
      <w:r>
        <w:rPr>
          <w:sz w:val="28"/>
          <w:szCs w:val="28"/>
        </w:rPr>
        <w:t>上涨1.0%；</w:t>
      </w:r>
      <w:r>
        <w:rPr>
          <w:rFonts w:hint="eastAsia"/>
          <w:sz w:val="28"/>
          <w:szCs w:val="28"/>
        </w:rPr>
        <w:t>教育</w:t>
      </w:r>
      <w:r>
        <w:rPr>
          <w:sz w:val="28"/>
          <w:szCs w:val="28"/>
        </w:rPr>
        <w:t>文化娱乐类</w:t>
      </w:r>
      <w:r>
        <w:rPr>
          <w:rFonts w:hint="eastAsia"/>
          <w:sz w:val="28"/>
          <w:szCs w:val="28"/>
        </w:rPr>
        <w:t>上涨</w:t>
      </w:r>
      <w:r>
        <w:rPr>
          <w:sz w:val="28"/>
          <w:szCs w:val="28"/>
        </w:rPr>
        <w:t>0.9%</w:t>
      </w:r>
      <w:r>
        <w:rPr>
          <w:rFonts w:hint="eastAsia"/>
          <w:sz w:val="28"/>
          <w:szCs w:val="28"/>
        </w:rPr>
        <w:t>；衣着</w:t>
      </w:r>
      <w:r>
        <w:rPr>
          <w:sz w:val="28"/>
          <w:szCs w:val="28"/>
        </w:rPr>
        <w:t>类上涨0.2%。</w:t>
      </w:r>
    </w:p>
    <w:p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七、电力消耗</w:t>
      </w:r>
    </w:p>
    <w:p>
      <w:pPr>
        <w:snapToGrid w:val="0"/>
        <w:spacing w:line="360" w:lineRule="auto"/>
        <w:ind w:firstLine="570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年，</w:t>
      </w:r>
      <w:r>
        <w:rPr>
          <w:sz w:val="28"/>
          <w:szCs w:val="28"/>
        </w:rPr>
        <w:t>全市实现全社会用电量833.30亿千瓦时，同比</w:t>
      </w:r>
      <w:r>
        <w:rPr>
          <w:rFonts w:hint="eastAsia"/>
          <w:sz w:val="28"/>
          <w:szCs w:val="28"/>
        </w:rPr>
        <w:t>下降</w:t>
      </w:r>
      <w:r>
        <w:rPr>
          <w:sz w:val="28"/>
          <w:szCs w:val="28"/>
        </w:rPr>
        <w:t>0.6%，其中工业用电量为600.40亿千瓦时，同比</w:t>
      </w:r>
      <w:r>
        <w:rPr>
          <w:rFonts w:hint="eastAsia"/>
          <w:sz w:val="28"/>
          <w:szCs w:val="28"/>
        </w:rPr>
        <w:t>下降</w:t>
      </w:r>
      <w:r>
        <w:rPr>
          <w:sz w:val="28"/>
          <w:szCs w:val="28"/>
        </w:rPr>
        <w:t>3.2%。</w:t>
      </w:r>
    </w:p>
    <w:p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>
        <w:rPr>
          <w:sz w:val="28"/>
          <w:szCs w:val="28"/>
        </w:rPr>
        <w:t>、居民收入</w:t>
      </w:r>
    </w:p>
    <w:p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，居民人均可支配收入65823元，同比增长4.5%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其中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城镇常住居民人均可支配收入73332元，同比增长4.0%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农村常住居民人均可支配收入41934元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同比增长5.8%。</w:t>
      </w:r>
    </w:p>
    <w:sectPr>
      <w:headerReference r:id="rId3" w:type="default"/>
      <w:footerReference r:id="rId4" w:type="default"/>
      <w:pgSz w:w="11906" w:h="16838"/>
      <w:pgMar w:top="1560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5NzBmMGQ3YWRkYzdhM2IwMThhOWE5ZjBhM2Y2ZjYifQ=="/>
  </w:docVars>
  <w:rsids>
    <w:rsidRoot w:val="00172A27"/>
    <w:rsid w:val="000061D4"/>
    <w:rsid w:val="00006D2E"/>
    <w:rsid w:val="00014D4D"/>
    <w:rsid w:val="000241F5"/>
    <w:rsid w:val="000307A2"/>
    <w:rsid w:val="0003186C"/>
    <w:rsid w:val="00031F70"/>
    <w:rsid w:val="00034E57"/>
    <w:rsid w:val="000351D4"/>
    <w:rsid w:val="00043FA9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5DF"/>
    <w:rsid w:val="000737AF"/>
    <w:rsid w:val="0008036E"/>
    <w:rsid w:val="00083F09"/>
    <w:rsid w:val="000841F7"/>
    <w:rsid w:val="00087B7F"/>
    <w:rsid w:val="0009450F"/>
    <w:rsid w:val="0009489E"/>
    <w:rsid w:val="00096B22"/>
    <w:rsid w:val="000A3F4E"/>
    <w:rsid w:val="000B1108"/>
    <w:rsid w:val="000B21FC"/>
    <w:rsid w:val="000B7919"/>
    <w:rsid w:val="000C00BB"/>
    <w:rsid w:val="000C0334"/>
    <w:rsid w:val="000C50DA"/>
    <w:rsid w:val="000C5358"/>
    <w:rsid w:val="000C609B"/>
    <w:rsid w:val="000C6AB9"/>
    <w:rsid w:val="000C7C5F"/>
    <w:rsid w:val="000C7EFE"/>
    <w:rsid w:val="000D22E9"/>
    <w:rsid w:val="000D2F65"/>
    <w:rsid w:val="000F0444"/>
    <w:rsid w:val="000F372F"/>
    <w:rsid w:val="000F3EC1"/>
    <w:rsid w:val="000F6E3B"/>
    <w:rsid w:val="001026A3"/>
    <w:rsid w:val="001073B7"/>
    <w:rsid w:val="001117BB"/>
    <w:rsid w:val="00111A65"/>
    <w:rsid w:val="00123491"/>
    <w:rsid w:val="00123728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7164"/>
    <w:rsid w:val="00157244"/>
    <w:rsid w:val="00161568"/>
    <w:rsid w:val="001626A5"/>
    <w:rsid w:val="001633B2"/>
    <w:rsid w:val="0016705F"/>
    <w:rsid w:val="00167FF2"/>
    <w:rsid w:val="00172A27"/>
    <w:rsid w:val="001758F1"/>
    <w:rsid w:val="00177120"/>
    <w:rsid w:val="00180258"/>
    <w:rsid w:val="001829D1"/>
    <w:rsid w:val="001878C0"/>
    <w:rsid w:val="00187E26"/>
    <w:rsid w:val="00191908"/>
    <w:rsid w:val="001A03FB"/>
    <w:rsid w:val="001A0BA3"/>
    <w:rsid w:val="001B19C2"/>
    <w:rsid w:val="001B3374"/>
    <w:rsid w:val="001B3BF9"/>
    <w:rsid w:val="001C0DC1"/>
    <w:rsid w:val="001C2087"/>
    <w:rsid w:val="001C3191"/>
    <w:rsid w:val="001C403F"/>
    <w:rsid w:val="001C61D4"/>
    <w:rsid w:val="001D216D"/>
    <w:rsid w:val="001D5F04"/>
    <w:rsid w:val="001D6C4D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22D5A"/>
    <w:rsid w:val="00225249"/>
    <w:rsid w:val="00227198"/>
    <w:rsid w:val="00234586"/>
    <w:rsid w:val="0023697D"/>
    <w:rsid w:val="00236C9E"/>
    <w:rsid w:val="0023732F"/>
    <w:rsid w:val="00237398"/>
    <w:rsid w:val="00243E7C"/>
    <w:rsid w:val="00246EA3"/>
    <w:rsid w:val="0025307C"/>
    <w:rsid w:val="002535C2"/>
    <w:rsid w:val="0026047F"/>
    <w:rsid w:val="00261E7E"/>
    <w:rsid w:val="00262661"/>
    <w:rsid w:val="00265884"/>
    <w:rsid w:val="002658DD"/>
    <w:rsid w:val="002700D3"/>
    <w:rsid w:val="00274882"/>
    <w:rsid w:val="002803E9"/>
    <w:rsid w:val="00281C04"/>
    <w:rsid w:val="002858EB"/>
    <w:rsid w:val="002873D2"/>
    <w:rsid w:val="00287C7E"/>
    <w:rsid w:val="00287E70"/>
    <w:rsid w:val="00295984"/>
    <w:rsid w:val="002A5D6D"/>
    <w:rsid w:val="002B0852"/>
    <w:rsid w:val="002B178B"/>
    <w:rsid w:val="002B1A60"/>
    <w:rsid w:val="002C04A7"/>
    <w:rsid w:val="002C1635"/>
    <w:rsid w:val="002C1AF3"/>
    <w:rsid w:val="002C6B42"/>
    <w:rsid w:val="002D16E9"/>
    <w:rsid w:val="002D20F2"/>
    <w:rsid w:val="002E326A"/>
    <w:rsid w:val="002E3552"/>
    <w:rsid w:val="002E39A5"/>
    <w:rsid w:val="002E3B09"/>
    <w:rsid w:val="002E72CF"/>
    <w:rsid w:val="002F49F0"/>
    <w:rsid w:val="002F702C"/>
    <w:rsid w:val="003136D2"/>
    <w:rsid w:val="003205DE"/>
    <w:rsid w:val="00333434"/>
    <w:rsid w:val="003338EB"/>
    <w:rsid w:val="0033429D"/>
    <w:rsid w:val="00334CB5"/>
    <w:rsid w:val="003360CA"/>
    <w:rsid w:val="00336976"/>
    <w:rsid w:val="00336FB8"/>
    <w:rsid w:val="00340AC7"/>
    <w:rsid w:val="00344B78"/>
    <w:rsid w:val="00350E0E"/>
    <w:rsid w:val="003525AD"/>
    <w:rsid w:val="00365536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95548"/>
    <w:rsid w:val="003A0A1B"/>
    <w:rsid w:val="003A0A69"/>
    <w:rsid w:val="003A1B18"/>
    <w:rsid w:val="003B5D2A"/>
    <w:rsid w:val="003B6236"/>
    <w:rsid w:val="003B6B84"/>
    <w:rsid w:val="003D03A4"/>
    <w:rsid w:val="003E056A"/>
    <w:rsid w:val="003F03AF"/>
    <w:rsid w:val="003F7736"/>
    <w:rsid w:val="00402A13"/>
    <w:rsid w:val="00406213"/>
    <w:rsid w:val="004141C6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26C3"/>
    <w:rsid w:val="00443BAB"/>
    <w:rsid w:val="0044419A"/>
    <w:rsid w:val="00446BCC"/>
    <w:rsid w:val="00450B37"/>
    <w:rsid w:val="0045407A"/>
    <w:rsid w:val="00463FC9"/>
    <w:rsid w:val="0046607D"/>
    <w:rsid w:val="00471369"/>
    <w:rsid w:val="00471F5E"/>
    <w:rsid w:val="00472F26"/>
    <w:rsid w:val="004741AE"/>
    <w:rsid w:val="004775DF"/>
    <w:rsid w:val="0048169F"/>
    <w:rsid w:val="00485909"/>
    <w:rsid w:val="00491DCD"/>
    <w:rsid w:val="00492B84"/>
    <w:rsid w:val="00493092"/>
    <w:rsid w:val="0049362E"/>
    <w:rsid w:val="00496C82"/>
    <w:rsid w:val="00497222"/>
    <w:rsid w:val="004A2609"/>
    <w:rsid w:val="004A2F3E"/>
    <w:rsid w:val="004A58CC"/>
    <w:rsid w:val="004B128D"/>
    <w:rsid w:val="004B1F8F"/>
    <w:rsid w:val="004C140B"/>
    <w:rsid w:val="004C5F0F"/>
    <w:rsid w:val="004D07E0"/>
    <w:rsid w:val="004D3722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2081D"/>
    <w:rsid w:val="00523CAA"/>
    <w:rsid w:val="00525E6C"/>
    <w:rsid w:val="0053232B"/>
    <w:rsid w:val="00547C00"/>
    <w:rsid w:val="00547DD7"/>
    <w:rsid w:val="00550474"/>
    <w:rsid w:val="00552169"/>
    <w:rsid w:val="005546FC"/>
    <w:rsid w:val="00555058"/>
    <w:rsid w:val="00555289"/>
    <w:rsid w:val="00561045"/>
    <w:rsid w:val="00561C12"/>
    <w:rsid w:val="005649DA"/>
    <w:rsid w:val="00566879"/>
    <w:rsid w:val="00566EC1"/>
    <w:rsid w:val="00577496"/>
    <w:rsid w:val="005807CB"/>
    <w:rsid w:val="0058143D"/>
    <w:rsid w:val="00581A1F"/>
    <w:rsid w:val="0058203E"/>
    <w:rsid w:val="005830CB"/>
    <w:rsid w:val="00586350"/>
    <w:rsid w:val="005870E6"/>
    <w:rsid w:val="00596954"/>
    <w:rsid w:val="005A7D0A"/>
    <w:rsid w:val="005C0C12"/>
    <w:rsid w:val="005C0EA1"/>
    <w:rsid w:val="005C18A8"/>
    <w:rsid w:val="005C6326"/>
    <w:rsid w:val="005D1027"/>
    <w:rsid w:val="005E1542"/>
    <w:rsid w:val="005E5890"/>
    <w:rsid w:val="005E6EBA"/>
    <w:rsid w:val="005F4D2F"/>
    <w:rsid w:val="005F60C1"/>
    <w:rsid w:val="005F704B"/>
    <w:rsid w:val="00603173"/>
    <w:rsid w:val="006067AC"/>
    <w:rsid w:val="006077D7"/>
    <w:rsid w:val="00612150"/>
    <w:rsid w:val="00621F10"/>
    <w:rsid w:val="00627692"/>
    <w:rsid w:val="006322BE"/>
    <w:rsid w:val="006328B3"/>
    <w:rsid w:val="00633711"/>
    <w:rsid w:val="006343DE"/>
    <w:rsid w:val="006373E3"/>
    <w:rsid w:val="00645445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7686E"/>
    <w:rsid w:val="00683CEF"/>
    <w:rsid w:val="00685638"/>
    <w:rsid w:val="00686490"/>
    <w:rsid w:val="00687B47"/>
    <w:rsid w:val="006961DA"/>
    <w:rsid w:val="00697E0A"/>
    <w:rsid w:val="006A136F"/>
    <w:rsid w:val="006A2673"/>
    <w:rsid w:val="006A4553"/>
    <w:rsid w:val="006A4C50"/>
    <w:rsid w:val="006A5E79"/>
    <w:rsid w:val="006A71BC"/>
    <w:rsid w:val="006B3028"/>
    <w:rsid w:val="006B4C68"/>
    <w:rsid w:val="006C12FE"/>
    <w:rsid w:val="006C27A3"/>
    <w:rsid w:val="006C32D5"/>
    <w:rsid w:val="006C337B"/>
    <w:rsid w:val="006D235D"/>
    <w:rsid w:val="006D3302"/>
    <w:rsid w:val="006D6D55"/>
    <w:rsid w:val="006E2E26"/>
    <w:rsid w:val="006E3DAE"/>
    <w:rsid w:val="006E56FE"/>
    <w:rsid w:val="006E6C7B"/>
    <w:rsid w:val="006F0182"/>
    <w:rsid w:val="006F08DF"/>
    <w:rsid w:val="006F114B"/>
    <w:rsid w:val="006F2CEC"/>
    <w:rsid w:val="006F60D3"/>
    <w:rsid w:val="00706AAB"/>
    <w:rsid w:val="00706BEF"/>
    <w:rsid w:val="00707461"/>
    <w:rsid w:val="007111D3"/>
    <w:rsid w:val="00713437"/>
    <w:rsid w:val="00715BC8"/>
    <w:rsid w:val="00716A3A"/>
    <w:rsid w:val="0073119D"/>
    <w:rsid w:val="007327F3"/>
    <w:rsid w:val="007357F6"/>
    <w:rsid w:val="00742563"/>
    <w:rsid w:val="00742D1B"/>
    <w:rsid w:val="00744886"/>
    <w:rsid w:val="00745361"/>
    <w:rsid w:val="007460C4"/>
    <w:rsid w:val="00754A7A"/>
    <w:rsid w:val="00755B56"/>
    <w:rsid w:val="007579D6"/>
    <w:rsid w:val="0076005E"/>
    <w:rsid w:val="00760DD2"/>
    <w:rsid w:val="00761D72"/>
    <w:rsid w:val="0076306A"/>
    <w:rsid w:val="007640D9"/>
    <w:rsid w:val="00771838"/>
    <w:rsid w:val="007744EE"/>
    <w:rsid w:val="00775F8B"/>
    <w:rsid w:val="007775BD"/>
    <w:rsid w:val="007809E7"/>
    <w:rsid w:val="0078433D"/>
    <w:rsid w:val="00786DD5"/>
    <w:rsid w:val="00787AE5"/>
    <w:rsid w:val="00790060"/>
    <w:rsid w:val="0079092D"/>
    <w:rsid w:val="00791FBA"/>
    <w:rsid w:val="0079266F"/>
    <w:rsid w:val="00793528"/>
    <w:rsid w:val="007A440F"/>
    <w:rsid w:val="007B0ADE"/>
    <w:rsid w:val="007B2657"/>
    <w:rsid w:val="007B2F34"/>
    <w:rsid w:val="007D4D37"/>
    <w:rsid w:val="007D635B"/>
    <w:rsid w:val="007D7588"/>
    <w:rsid w:val="007E13C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A62"/>
    <w:rsid w:val="00801B5C"/>
    <w:rsid w:val="00806F8E"/>
    <w:rsid w:val="00811231"/>
    <w:rsid w:val="008114E0"/>
    <w:rsid w:val="008148ED"/>
    <w:rsid w:val="0081549C"/>
    <w:rsid w:val="008220C4"/>
    <w:rsid w:val="008258B4"/>
    <w:rsid w:val="00836F2C"/>
    <w:rsid w:val="00840095"/>
    <w:rsid w:val="0084358F"/>
    <w:rsid w:val="00845871"/>
    <w:rsid w:val="0086063B"/>
    <w:rsid w:val="00860AE8"/>
    <w:rsid w:val="00874BA4"/>
    <w:rsid w:val="008754B7"/>
    <w:rsid w:val="008829FF"/>
    <w:rsid w:val="0088590C"/>
    <w:rsid w:val="00886922"/>
    <w:rsid w:val="008912B3"/>
    <w:rsid w:val="008913CF"/>
    <w:rsid w:val="00891DAB"/>
    <w:rsid w:val="0089270B"/>
    <w:rsid w:val="008950FD"/>
    <w:rsid w:val="00896912"/>
    <w:rsid w:val="00897058"/>
    <w:rsid w:val="008A2FA1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225E"/>
    <w:rsid w:val="008D4B0C"/>
    <w:rsid w:val="008D7EEB"/>
    <w:rsid w:val="008E3C45"/>
    <w:rsid w:val="008F1C47"/>
    <w:rsid w:val="008F4862"/>
    <w:rsid w:val="008F4D59"/>
    <w:rsid w:val="008F5AAD"/>
    <w:rsid w:val="008F7BC6"/>
    <w:rsid w:val="0090255B"/>
    <w:rsid w:val="00903884"/>
    <w:rsid w:val="00904E76"/>
    <w:rsid w:val="00905A4D"/>
    <w:rsid w:val="009147B2"/>
    <w:rsid w:val="00917E3D"/>
    <w:rsid w:val="00924AEC"/>
    <w:rsid w:val="00925181"/>
    <w:rsid w:val="00926EB3"/>
    <w:rsid w:val="00927360"/>
    <w:rsid w:val="00930A24"/>
    <w:rsid w:val="00931700"/>
    <w:rsid w:val="00931979"/>
    <w:rsid w:val="00933375"/>
    <w:rsid w:val="009343E6"/>
    <w:rsid w:val="00945A21"/>
    <w:rsid w:val="009465A9"/>
    <w:rsid w:val="0094767F"/>
    <w:rsid w:val="00947809"/>
    <w:rsid w:val="009516D4"/>
    <w:rsid w:val="009614BC"/>
    <w:rsid w:val="00962A1E"/>
    <w:rsid w:val="0096587A"/>
    <w:rsid w:val="00967084"/>
    <w:rsid w:val="00970133"/>
    <w:rsid w:val="00974933"/>
    <w:rsid w:val="009753AF"/>
    <w:rsid w:val="00975C44"/>
    <w:rsid w:val="0098118F"/>
    <w:rsid w:val="00982535"/>
    <w:rsid w:val="009926A3"/>
    <w:rsid w:val="00992FF9"/>
    <w:rsid w:val="00994774"/>
    <w:rsid w:val="00997BD8"/>
    <w:rsid w:val="009A0E59"/>
    <w:rsid w:val="009A12DF"/>
    <w:rsid w:val="009A20C2"/>
    <w:rsid w:val="009A5320"/>
    <w:rsid w:val="009B47E6"/>
    <w:rsid w:val="009B6474"/>
    <w:rsid w:val="009C3B18"/>
    <w:rsid w:val="009C6BD6"/>
    <w:rsid w:val="009D27E9"/>
    <w:rsid w:val="009D3287"/>
    <w:rsid w:val="009D438D"/>
    <w:rsid w:val="009D5691"/>
    <w:rsid w:val="009E0C33"/>
    <w:rsid w:val="009F1080"/>
    <w:rsid w:val="009F2730"/>
    <w:rsid w:val="009F29EC"/>
    <w:rsid w:val="00A019BF"/>
    <w:rsid w:val="00A030D5"/>
    <w:rsid w:val="00A06641"/>
    <w:rsid w:val="00A07281"/>
    <w:rsid w:val="00A12A5A"/>
    <w:rsid w:val="00A150BB"/>
    <w:rsid w:val="00A161F3"/>
    <w:rsid w:val="00A231CF"/>
    <w:rsid w:val="00A31B59"/>
    <w:rsid w:val="00A417BE"/>
    <w:rsid w:val="00A43886"/>
    <w:rsid w:val="00A4428F"/>
    <w:rsid w:val="00A47C83"/>
    <w:rsid w:val="00A53435"/>
    <w:rsid w:val="00A55E40"/>
    <w:rsid w:val="00A6104C"/>
    <w:rsid w:val="00A61C3E"/>
    <w:rsid w:val="00A75F39"/>
    <w:rsid w:val="00A769A8"/>
    <w:rsid w:val="00A76A04"/>
    <w:rsid w:val="00A77AD2"/>
    <w:rsid w:val="00A807D3"/>
    <w:rsid w:val="00A81491"/>
    <w:rsid w:val="00A815A7"/>
    <w:rsid w:val="00A819C6"/>
    <w:rsid w:val="00A82A04"/>
    <w:rsid w:val="00A8653D"/>
    <w:rsid w:val="00A919A1"/>
    <w:rsid w:val="00A9366B"/>
    <w:rsid w:val="00AA57F7"/>
    <w:rsid w:val="00AA7E43"/>
    <w:rsid w:val="00AB3ADB"/>
    <w:rsid w:val="00AB5D89"/>
    <w:rsid w:val="00AB67CB"/>
    <w:rsid w:val="00AB754F"/>
    <w:rsid w:val="00AB7741"/>
    <w:rsid w:val="00AC06B5"/>
    <w:rsid w:val="00AC584C"/>
    <w:rsid w:val="00AC5A40"/>
    <w:rsid w:val="00AC5EB0"/>
    <w:rsid w:val="00AD0444"/>
    <w:rsid w:val="00AD4FA7"/>
    <w:rsid w:val="00AD67DA"/>
    <w:rsid w:val="00AD6BB2"/>
    <w:rsid w:val="00AE11CD"/>
    <w:rsid w:val="00AE2517"/>
    <w:rsid w:val="00AE351F"/>
    <w:rsid w:val="00AE41A1"/>
    <w:rsid w:val="00AE4CBB"/>
    <w:rsid w:val="00AE4FB0"/>
    <w:rsid w:val="00AE79EA"/>
    <w:rsid w:val="00AF3C82"/>
    <w:rsid w:val="00AF4BCC"/>
    <w:rsid w:val="00AF4F93"/>
    <w:rsid w:val="00AF5AF8"/>
    <w:rsid w:val="00AF6196"/>
    <w:rsid w:val="00B00594"/>
    <w:rsid w:val="00B259CC"/>
    <w:rsid w:val="00B3017B"/>
    <w:rsid w:val="00B317D8"/>
    <w:rsid w:val="00B33982"/>
    <w:rsid w:val="00B341D9"/>
    <w:rsid w:val="00B3435A"/>
    <w:rsid w:val="00B442E6"/>
    <w:rsid w:val="00B463F8"/>
    <w:rsid w:val="00B46BD1"/>
    <w:rsid w:val="00B5267A"/>
    <w:rsid w:val="00B5277D"/>
    <w:rsid w:val="00B53B0B"/>
    <w:rsid w:val="00B55429"/>
    <w:rsid w:val="00B56472"/>
    <w:rsid w:val="00B60418"/>
    <w:rsid w:val="00B613E3"/>
    <w:rsid w:val="00B75258"/>
    <w:rsid w:val="00B77468"/>
    <w:rsid w:val="00B80F7D"/>
    <w:rsid w:val="00B82005"/>
    <w:rsid w:val="00B84BF4"/>
    <w:rsid w:val="00B86E50"/>
    <w:rsid w:val="00B91FE2"/>
    <w:rsid w:val="00B92A6C"/>
    <w:rsid w:val="00B94F71"/>
    <w:rsid w:val="00B95009"/>
    <w:rsid w:val="00B95505"/>
    <w:rsid w:val="00B959F4"/>
    <w:rsid w:val="00B97D4B"/>
    <w:rsid w:val="00BA03AA"/>
    <w:rsid w:val="00BA61C6"/>
    <w:rsid w:val="00BA730B"/>
    <w:rsid w:val="00BC10A1"/>
    <w:rsid w:val="00BC124B"/>
    <w:rsid w:val="00BC1885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F035C"/>
    <w:rsid w:val="00BF5026"/>
    <w:rsid w:val="00BF50E9"/>
    <w:rsid w:val="00BF5575"/>
    <w:rsid w:val="00BF6DEF"/>
    <w:rsid w:val="00C009D0"/>
    <w:rsid w:val="00C02A39"/>
    <w:rsid w:val="00C0343E"/>
    <w:rsid w:val="00C056A1"/>
    <w:rsid w:val="00C06B53"/>
    <w:rsid w:val="00C06EF2"/>
    <w:rsid w:val="00C078F5"/>
    <w:rsid w:val="00C13A36"/>
    <w:rsid w:val="00C22D2B"/>
    <w:rsid w:val="00C25E10"/>
    <w:rsid w:val="00C26A50"/>
    <w:rsid w:val="00C27611"/>
    <w:rsid w:val="00C342EE"/>
    <w:rsid w:val="00C349D4"/>
    <w:rsid w:val="00C434B8"/>
    <w:rsid w:val="00C44B62"/>
    <w:rsid w:val="00C52D80"/>
    <w:rsid w:val="00C53B35"/>
    <w:rsid w:val="00C540FA"/>
    <w:rsid w:val="00C55403"/>
    <w:rsid w:val="00C574A8"/>
    <w:rsid w:val="00C61712"/>
    <w:rsid w:val="00C66111"/>
    <w:rsid w:val="00C70B7D"/>
    <w:rsid w:val="00C72305"/>
    <w:rsid w:val="00C72A78"/>
    <w:rsid w:val="00C72CA5"/>
    <w:rsid w:val="00C73700"/>
    <w:rsid w:val="00C77DD9"/>
    <w:rsid w:val="00C80C20"/>
    <w:rsid w:val="00C900F7"/>
    <w:rsid w:val="00C90873"/>
    <w:rsid w:val="00C94D23"/>
    <w:rsid w:val="00CA22AA"/>
    <w:rsid w:val="00CA672C"/>
    <w:rsid w:val="00CB3A16"/>
    <w:rsid w:val="00CB44C0"/>
    <w:rsid w:val="00CB4D42"/>
    <w:rsid w:val="00CB53E3"/>
    <w:rsid w:val="00CB5407"/>
    <w:rsid w:val="00CB61B7"/>
    <w:rsid w:val="00CB6402"/>
    <w:rsid w:val="00CB6D97"/>
    <w:rsid w:val="00CC118D"/>
    <w:rsid w:val="00CC139A"/>
    <w:rsid w:val="00CC38D2"/>
    <w:rsid w:val="00CC7274"/>
    <w:rsid w:val="00CD2B90"/>
    <w:rsid w:val="00CD3BEB"/>
    <w:rsid w:val="00CD42F5"/>
    <w:rsid w:val="00CD558E"/>
    <w:rsid w:val="00CE4745"/>
    <w:rsid w:val="00CE7973"/>
    <w:rsid w:val="00CF1DC0"/>
    <w:rsid w:val="00CF2A17"/>
    <w:rsid w:val="00CF32C4"/>
    <w:rsid w:val="00CF3728"/>
    <w:rsid w:val="00CF4298"/>
    <w:rsid w:val="00D10855"/>
    <w:rsid w:val="00D11F6A"/>
    <w:rsid w:val="00D21445"/>
    <w:rsid w:val="00D244CE"/>
    <w:rsid w:val="00D24B33"/>
    <w:rsid w:val="00D252E6"/>
    <w:rsid w:val="00D26B33"/>
    <w:rsid w:val="00D30001"/>
    <w:rsid w:val="00D30EF8"/>
    <w:rsid w:val="00D36863"/>
    <w:rsid w:val="00D37B23"/>
    <w:rsid w:val="00D462CE"/>
    <w:rsid w:val="00D54071"/>
    <w:rsid w:val="00D64116"/>
    <w:rsid w:val="00D646A5"/>
    <w:rsid w:val="00D73AB6"/>
    <w:rsid w:val="00D75278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51DE"/>
    <w:rsid w:val="00D96125"/>
    <w:rsid w:val="00DA0384"/>
    <w:rsid w:val="00DA094B"/>
    <w:rsid w:val="00DA19D0"/>
    <w:rsid w:val="00DA2463"/>
    <w:rsid w:val="00DA4873"/>
    <w:rsid w:val="00DA6AB9"/>
    <w:rsid w:val="00DB0CC6"/>
    <w:rsid w:val="00DB2B20"/>
    <w:rsid w:val="00DB65F2"/>
    <w:rsid w:val="00DC21EE"/>
    <w:rsid w:val="00DC2E32"/>
    <w:rsid w:val="00DC4893"/>
    <w:rsid w:val="00DC5454"/>
    <w:rsid w:val="00DD3243"/>
    <w:rsid w:val="00DD47FB"/>
    <w:rsid w:val="00DD5C14"/>
    <w:rsid w:val="00DE5C0C"/>
    <w:rsid w:val="00DE7754"/>
    <w:rsid w:val="00DF09B8"/>
    <w:rsid w:val="00DF33F5"/>
    <w:rsid w:val="00DF5D48"/>
    <w:rsid w:val="00DF6CF6"/>
    <w:rsid w:val="00E0431A"/>
    <w:rsid w:val="00E053E3"/>
    <w:rsid w:val="00E062B7"/>
    <w:rsid w:val="00E06747"/>
    <w:rsid w:val="00E06E1C"/>
    <w:rsid w:val="00E10086"/>
    <w:rsid w:val="00E10563"/>
    <w:rsid w:val="00E127CC"/>
    <w:rsid w:val="00E16199"/>
    <w:rsid w:val="00E21EC1"/>
    <w:rsid w:val="00E2603F"/>
    <w:rsid w:val="00E27C90"/>
    <w:rsid w:val="00E304DE"/>
    <w:rsid w:val="00E41470"/>
    <w:rsid w:val="00E415D1"/>
    <w:rsid w:val="00E418EC"/>
    <w:rsid w:val="00E433BC"/>
    <w:rsid w:val="00E449FF"/>
    <w:rsid w:val="00E45008"/>
    <w:rsid w:val="00E45F28"/>
    <w:rsid w:val="00E46351"/>
    <w:rsid w:val="00E4693B"/>
    <w:rsid w:val="00E54208"/>
    <w:rsid w:val="00E542ED"/>
    <w:rsid w:val="00E54537"/>
    <w:rsid w:val="00E554A2"/>
    <w:rsid w:val="00E650CF"/>
    <w:rsid w:val="00E65EE1"/>
    <w:rsid w:val="00E6754C"/>
    <w:rsid w:val="00E67F71"/>
    <w:rsid w:val="00E720DE"/>
    <w:rsid w:val="00E77AE0"/>
    <w:rsid w:val="00E8510D"/>
    <w:rsid w:val="00E87FD5"/>
    <w:rsid w:val="00E90BB1"/>
    <w:rsid w:val="00E9589A"/>
    <w:rsid w:val="00EA2447"/>
    <w:rsid w:val="00EA572E"/>
    <w:rsid w:val="00EA5D03"/>
    <w:rsid w:val="00EB0720"/>
    <w:rsid w:val="00EB1E9E"/>
    <w:rsid w:val="00EB2293"/>
    <w:rsid w:val="00EB2679"/>
    <w:rsid w:val="00EB2AB2"/>
    <w:rsid w:val="00EB2E41"/>
    <w:rsid w:val="00EB5085"/>
    <w:rsid w:val="00EB5A4E"/>
    <w:rsid w:val="00EC3D39"/>
    <w:rsid w:val="00ED2126"/>
    <w:rsid w:val="00ED5273"/>
    <w:rsid w:val="00ED54DF"/>
    <w:rsid w:val="00ED5FB8"/>
    <w:rsid w:val="00ED6A3C"/>
    <w:rsid w:val="00ED7F95"/>
    <w:rsid w:val="00EE44D2"/>
    <w:rsid w:val="00EF09B5"/>
    <w:rsid w:val="00F02D19"/>
    <w:rsid w:val="00F041F6"/>
    <w:rsid w:val="00F06075"/>
    <w:rsid w:val="00F11824"/>
    <w:rsid w:val="00F1301E"/>
    <w:rsid w:val="00F13E82"/>
    <w:rsid w:val="00F17A49"/>
    <w:rsid w:val="00F336CE"/>
    <w:rsid w:val="00F43EB7"/>
    <w:rsid w:val="00F47C72"/>
    <w:rsid w:val="00F47E74"/>
    <w:rsid w:val="00F52314"/>
    <w:rsid w:val="00F528FF"/>
    <w:rsid w:val="00F53633"/>
    <w:rsid w:val="00F546D6"/>
    <w:rsid w:val="00F561FE"/>
    <w:rsid w:val="00F6263C"/>
    <w:rsid w:val="00F65D0C"/>
    <w:rsid w:val="00F72BCB"/>
    <w:rsid w:val="00F72E7A"/>
    <w:rsid w:val="00F7451A"/>
    <w:rsid w:val="00F839CA"/>
    <w:rsid w:val="00F85FE3"/>
    <w:rsid w:val="00F86DE7"/>
    <w:rsid w:val="00F878F7"/>
    <w:rsid w:val="00F87E1C"/>
    <w:rsid w:val="00F90A43"/>
    <w:rsid w:val="00F945F3"/>
    <w:rsid w:val="00F94B0A"/>
    <w:rsid w:val="00F94BE0"/>
    <w:rsid w:val="00FA1131"/>
    <w:rsid w:val="00FA16F5"/>
    <w:rsid w:val="00FA5A82"/>
    <w:rsid w:val="00FB0E66"/>
    <w:rsid w:val="00FB45B4"/>
    <w:rsid w:val="00FB7FCD"/>
    <w:rsid w:val="00FC3920"/>
    <w:rsid w:val="00FD11CF"/>
    <w:rsid w:val="00FD553E"/>
    <w:rsid w:val="00FD5B5E"/>
    <w:rsid w:val="00FD5DAF"/>
    <w:rsid w:val="00FE4A86"/>
    <w:rsid w:val="00FE7186"/>
    <w:rsid w:val="00FE7959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6F65CF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5A5778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630" w:firstLineChars="200"/>
      <w:jc w:val="left"/>
    </w:pPr>
    <w:rPr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  <w:style w:type="character" w:customStyle="1" w:styleId="11">
    <w:name w:val="标题2 Char"/>
    <w:link w:val="12"/>
    <w:qFormat/>
    <w:uiPriority w:val="0"/>
    <w:rPr>
      <w:rFonts w:eastAsia="方正楷体_GBK"/>
      <w:snapToGrid w:val="0"/>
      <w:sz w:val="32"/>
      <w:lang w:val="en-US" w:eastAsia="zh-CN" w:bidi="ar-SA"/>
    </w:rPr>
  </w:style>
  <w:style w:type="paragraph" w:customStyle="1" w:styleId="12">
    <w:name w:val="标题2"/>
    <w:basedOn w:val="1"/>
    <w:next w:val="1"/>
    <w:link w:val="1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13">
    <w:name w:val="标题3 Char"/>
    <w:link w:val="14"/>
    <w:uiPriority w:val="0"/>
    <w:rPr>
      <w:rFonts w:eastAsia="方正黑体_GBK"/>
      <w:snapToGrid w:val="0"/>
      <w:sz w:val="32"/>
      <w:lang w:val="en-US" w:eastAsia="zh-CN" w:bidi="ar-SA"/>
    </w:rPr>
  </w:style>
  <w:style w:type="paragraph" w:customStyle="1" w:styleId="14">
    <w:name w:val="标题3"/>
    <w:basedOn w:val="1"/>
    <w:next w:val="1"/>
    <w:link w:val="13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5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6">
    <w:name w:val="明显强调1"/>
    <w:basedOn w:val="8"/>
    <w:qFormat/>
    <w:uiPriority w:val="21"/>
    <w:rPr>
      <w:b/>
      <w:bCs/>
      <w:i/>
      <w:iCs/>
      <w:color w:val="4F81BD" w:themeColor="accent1"/>
    </w:rPr>
  </w:style>
  <w:style w:type="character" w:customStyle="1" w:styleId="17">
    <w:name w:val="正文文本缩进 Char"/>
    <w:basedOn w:val="8"/>
    <w:link w:val="2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CD69-116F-4932-A926-FAC11A26D7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931</Words>
  <Characters>1270</Characters>
  <Lines>9</Lines>
  <Paragraphs>2</Paragraphs>
  <TotalTime>369</TotalTime>
  <ScaleCrop>false</ScaleCrop>
  <LinksUpToDate>false</LinksUpToDate>
  <CharactersWithSpaces>1279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2021-05-21T01:45:00Z</dcterms:created>
  <dc:creator>zl</dc:creator>
  <cp:lastModifiedBy>若有其事</cp:lastModifiedBy>
  <cp:lastPrinted>2022-04-20T08:58:00Z</cp:lastPrinted>
  <dcterms:modified xsi:type="dcterms:W3CDTF">2023-01-20T01:19:40Z</dcterms:modified>
  <dc:title>进一步明确民生幸福工程路线图和时间表</dc:title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