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eastAsia="方正小标宋_GBK"/>
          <w:b w:val="0"/>
          <w:i w:val="0"/>
          <w:color w:val="000000" w:themeColor="text1"/>
          <w:sz w:val="44"/>
          <w:szCs w:val="44"/>
        </w:rPr>
      </w:pPr>
    </w:p>
    <w:p>
      <w:pPr>
        <w:jc w:val="center"/>
        <w:rPr>
          <w:rStyle w:val="16"/>
          <w:rFonts w:eastAsia="方正小标宋_GBK"/>
          <w:b w:val="0"/>
          <w:i w:val="0"/>
          <w:color w:val="000000" w:themeColor="text1"/>
          <w:sz w:val="44"/>
          <w:szCs w:val="44"/>
        </w:rPr>
      </w:pPr>
      <w:r>
        <w:rPr>
          <w:rStyle w:val="16"/>
          <w:rFonts w:eastAsia="方正小标宋_GBK"/>
          <w:b w:val="0"/>
          <w:i w:val="0"/>
          <w:color w:val="000000" w:themeColor="text1"/>
          <w:sz w:val="44"/>
          <w:szCs w:val="44"/>
        </w:rPr>
        <w:t>2023年</w:t>
      </w:r>
      <w:r>
        <w:rPr>
          <w:rStyle w:val="16"/>
          <w:rFonts w:hint="eastAsia" w:eastAsia="方正小标宋_GBK"/>
          <w:b w:val="0"/>
          <w:i w:val="0"/>
          <w:color w:val="000000" w:themeColor="text1"/>
          <w:sz w:val="44"/>
          <w:szCs w:val="44"/>
        </w:rPr>
        <w:t>1-9月</w:t>
      </w:r>
      <w:r>
        <w:rPr>
          <w:rStyle w:val="16"/>
          <w:rFonts w:eastAsia="方正小标宋_GBK"/>
          <w:b w:val="0"/>
          <w:i w:val="0"/>
          <w:color w:val="000000" w:themeColor="text1"/>
          <w:sz w:val="44"/>
          <w:szCs w:val="44"/>
        </w:rPr>
        <w:t>无锡市国民经济运行情况简析</w:t>
      </w:r>
    </w:p>
    <w:p>
      <w:pPr>
        <w:pStyle w:val="2"/>
        <w:snapToGrid w:val="0"/>
        <w:spacing w:line="360" w:lineRule="auto"/>
        <w:ind w:firstLine="480"/>
        <w:jc w:val="both"/>
        <w:rPr>
          <w:sz w:val="24"/>
        </w:rPr>
      </w:pPr>
    </w:p>
    <w:p>
      <w:pPr>
        <w:pStyle w:val="2"/>
        <w:snapToGrid w:val="0"/>
        <w:spacing w:line="560" w:lineRule="exact"/>
        <w:ind w:firstLine="570" w:firstLineChars="0"/>
        <w:jc w:val="both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1</w:t>
      </w:r>
      <w:r>
        <w:rPr>
          <w:rFonts w:eastAsia="方正仿宋_GBK"/>
          <w:szCs w:val="32"/>
        </w:rPr>
        <w:t>-9</w:t>
      </w:r>
      <w:r>
        <w:rPr>
          <w:rFonts w:hint="eastAsia" w:eastAsia="方正仿宋_GBK"/>
          <w:szCs w:val="32"/>
        </w:rPr>
        <w:t>月</w:t>
      </w:r>
      <w:r>
        <w:rPr>
          <w:rFonts w:eastAsia="方正仿宋_GBK"/>
          <w:szCs w:val="32"/>
        </w:rPr>
        <w:t>，全市</w:t>
      </w:r>
      <w:bookmarkStart w:id="0" w:name="OLE_LINK1"/>
      <w:r>
        <w:rPr>
          <w:rFonts w:eastAsia="方正仿宋_GBK"/>
          <w:szCs w:val="32"/>
        </w:rPr>
        <w:t>经济运行整体回升向好</w:t>
      </w:r>
      <w:bookmarkEnd w:id="0"/>
      <w:r>
        <w:rPr>
          <w:rFonts w:eastAsia="方正仿宋_GBK"/>
          <w:szCs w:val="32"/>
        </w:rPr>
        <w:t>，实现</w:t>
      </w:r>
      <w:r>
        <w:rPr>
          <w:rFonts w:hint="eastAsia" w:eastAsia="方正仿宋_GBK"/>
          <w:szCs w:val="32"/>
        </w:rPr>
        <w:t>地区</w:t>
      </w:r>
      <w:r>
        <w:rPr>
          <w:rFonts w:eastAsia="方正仿宋_GBK"/>
          <w:szCs w:val="32"/>
        </w:rPr>
        <w:t>生产总值11000.56亿元，按可比价格计算，同比增长5.8%。分产业看，第一产业实现增加值80.90亿元，同比</w:t>
      </w:r>
      <w:r>
        <w:rPr>
          <w:rFonts w:hint="eastAsia" w:eastAsia="方正仿宋_GBK"/>
          <w:szCs w:val="32"/>
        </w:rPr>
        <w:t>增长1.6%</w:t>
      </w:r>
      <w:r>
        <w:rPr>
          <w:rFonts w:eastAsia="方正仿宋_GBK"/>
          <w:szCs w:val="32"/>
        </w:rPr>
        <w:t>；第二产业实现增加值5174.28亿元，同比增长6.8%；第三产业实现增加值5745.38亿元，同比增长5.0%。</w:t>
      </w:r>
    </w:p>
    <w:p>
      <w:pPr>
        <w:pStyle w:val="2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一、工业生产</w:t>
      </w: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0" w:firstLineChars="0"/>
        <w:jc w:val="both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</w:t>
      </w:r>
      <w:r>
        <w:rPr>
          <w:rFonts w:hint="eastAsia" w:eastAsia="方正仿宋_GBK"/>
          <w:szCs w:val="32"/>
        </w:rPr>
        <w:t>1-9月</w:t>
      </w:r>
      <w:r>
        <w:rPr>
          <w:rFonts w:eastAsia="方正仿宋_GBK"/>
          <w:szCs w:val="32"/>
        </w:rPr>
        <w:t>，全市规模以上工业增加值4408.31</w:t>
      </w:r>
      <w:r>
        <w:rPr>
          <w:rFonts w:hint="eastAsia" w:eastAsia="方正仿宋_GBK"/>
          <w:szCs w:val="32"/>
        </w:rPr>
        <w:t>亿元，同比增长</w:t>
      </w:r>
      <w:r>
        <w:rPr>
          <w:rFonts w:eastAsia="方正仿宋_GBK"/>
          <w:szCs w:val="32"/>
        </w:rPr>
        <w:t>7.6</w:t>
      </w:r>
      <w:r>
        <w:rPr>
          <w:rFonts w:hint="eastAsia" w:eastAsia="方正仿宋_GBK"/>
          <w:szCs w:val="32"/>
        </w:rPr>
        <w:t>%</w:t>
      </w:r>
      <w:r>
        <w:rPr>
          <w:rFonts w:eastAsia="方正仿宋_GBK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lang w:val="zh-CN"/>
        </w:rPr>
      </w:pPr>
      <w:r>
        <w:rPr>
          <w:rFonts w:eastAsia="方正仿宋_GBK"/>
          <w:color w:val="000000" w:themeColor="text1"/>
          <w:sz w:val="32"/>
          <w:szCs w:val="32"/>
        </w:rPr>
        <w:t>从工业产销看，全市规模以上工业产销率为93.78%。30种重点产品中11种产品产量实现正增长，其中</w:t>
      </w:r>
      <w:r>
        <w:rPr>
          <w:rFonts w:eastAsia="方正仿宋_GBK"/>
          <w:color w:val="000000" w:themeColor="text1"/>
          <w:sz w:val="32"/>
          <w:szCs w:val="32"/>
          <w:lang w:val="zh-CN"/>
        </w:rPr>
        <w:t>装备制造工业中的太阳能电池（光伏电池）、光缆产量同比分别增长50.9%、26.8%；消费品工业中的合成纤维聚合物、民用钢质船舶、家用</w:t>
      </w:r>
      <w:r>
        <w:rPr>
          <w:rFonts w:hint="eastAsia" w:eastAsia="方正仿宋_GBK"/>
          <w:color w:val="000000" w:themeColor="text1"/>
          <w:sz w:val="32"/>
          <w:szCs w:val="32"/>
          <w:lang w:val="zh-CN"/>
        </w:rPr>
        <w:t>洗衣机</w:t>
      </w:r>
      <w:r>
        <w:rPr>
          <w:rFonts w:eastAsia="方正仿宋_GBK"/>
          <w:color w:val="000000" w:themeColor="text1"/>
          <w:sz w:val="32"/>
          <w:szCs w:val="32"/>
          <w:lang w:val="zh-CN"/>
        </w:rPr>
        <w:t>产量同比分别增长131.4%、</w:t>
      </w:r>
      <w:r>
        <w:rPr>
          <w:rFonts w:eastAsia="方正仿宋_GBK"/>
          <w:color w:val="000000" w:themeColor="text1"/>
          <w:sz w:val="32"/>
          <w:szCs w:val="32"/>
        </w:rPr>
        <w:t>49.3</w:t>
      </w:r>
      <w:r>
        <w:rPr>
          <w:rFonts w:eastAsia="方正仿宋_GBK"/>
          <w:color w:val="000000" w:themeColor="text1"/>
          <w:sz w:val="32"/>
          <w:szCs w:val="32"/>
          <w:lang w:val="zh-CN"/>
        </w:rPr>
        <w:t>%、</w:t>
      </w:r>
      <w:r>
        <w:rPr>
          <w:rFonts w:eastAsia="方正仿宋_GBK"/>
          <w:color w:val="000000" w:themeColor="text1"/>
          <w:sz w:val="32"/>
          <w:szCs w:val="32"/>
        </w:rPr>
        <w:t>32.4</w:t>
      </w:r>
      <w:r>
        <w:rPr>
          <w:rFonts w:eastAsia="方正仿宋_GBK"/>
          <w:color w:val="000000" w:themeColor="text1"/>
          <w:sz w:val="32"/>
          <w:szCs w:val="32"/>
          <w:lang w:val="zh-CN"/>
        </w:rPr>
        <w:t>%。</w:t>
      </w:r>
    </w:p>
    <w:p>
      <w:pPr>
        <w:pStyle w:val="2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二、固定资产投资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-9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，全市完成固定资产投资</w:t>
      </w:r>
      <w:r>
        <w:rPr>
          <w:rFonts w:hint="eastAsia" w:eastAsia="方正仿宋_GBK"/>
          <w:sz w:val="32"/>
          <w:szCs w:val="32"/>
        </w:rPr>
        <w:t>3417.05亿元，同比增长9.8%</w:t>
      </w:r>
      <w:r>
        <w:rPr>
          <w:rFonts w:eastAsia="方正仿宋_GBK"/>
          <w:sz w:val="32"/>
          <w:szCs w:val="32"/>
        </w:rPr>
        <w:t>，其中工业投资1343.44亿元，同比增长</w:t>
      </w:r>
      <w:r>
        <w:rPr>
          <w:rFonts w:hint="eastAsia" w:eastAsia="方正仿宋_GBK"/>
          <w:sz w:val="32"/>
          <w:szCs w:val="32"/>
          <w:lang w:val="en-US" w:eastAsia="zh-CN"/>
        </w:rPr>
        <w:t>12.2</w:t>
      </w:r>
      <w:r>
        <w:rPr>
          <w:rFonts w:eastAsia="方正仿宋_GBK"/>
          <w:sz w:val="32"/>
          <w:szCs w:val="32"/>
        </w:rPr>
        <w:t>%。</w:t>
      </w:r>
      <w:bookmarkStart w:id="1" w:name="_GoBack"/>
      <w:bookmarkEnd w:id="1"/>
    </w:p>
    <w:p>
      <w:pPr>
        <w:snapToGrid w:val="0"/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从产业投向看，第二产业完成投资1342.83亿元，同比增长12.2%，其中工业技改投资658.77亿元，同比下降2.2%。第三产业完成投资2073.31亿元，同比增长8.4%，其中房地产开发投资995.26亿元，同比下降7.7%。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yellow"/>
        </w:rPr>
      </w:pPr>
      <w:r>
        <w:rPr>
          <w:rFonts w:hint="eastAsia" w:ascii="方正黑体_GBK" w:eastAsia="方正黑体_GBK"/>
          <w:sz w:val="32"/>
          <w:szCs w:val="32"/>
        </w:rPr>
        <w:t>三、消费品市场</w:t>
      </w:r>
    </w:p>
    <w:p>
      <w:pPr>
        <w:snapToGrid w:val="0"/>
        <w:spacing w:line="560" w:lineRule="exact"/>
        <w:ind w:firstLine="480"/>
        <w:rPr>
          <w:rFonts w:eastAsia="方正仿宋_GBK"/>
          <w:color w:val="000000" w:themeColor="text1"/>
          <w:sz w:val="32"/>
          <w:szCs w:val="32"/>
          <w:highlight w:val="yellow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-9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，全市实现社会消费品零售总额2661.47</w:t>
      </w:r>
      <w:r>
        <w:rPr>
          <w:rFonts w:hint="eastAsia" w:eastAsia="方正仿宋_GBK"/>
          <w:sz w:val="32"/>
          <w:szCs w:val="32"/>
        </w:rPr>
        <w:t>亿元，同比增长</w:t>
      </w:r>
      <w:r>
        <w:rPr>
          <w:rFonts w:eastAsia="方正仿宋_GBK"/>
          <w:sz w:val="32"/>
          <w:szCs w:val="32"/>
        </w:rPr>
        <w:t>7.2</w:t>
      </w:r>
      <w:r>
        <w:rPr>
          <w:rFonts w:hint="eastAsia" w:eastAsia="方正仿宋_GBK"/>
          <w:sz w:val="32"/>
          <w:szCs w:val="32"/>
        </w:rPr>
        <w:t>%</w:t>
      </w:r>
      <w:r>
        <w:rPr>
          <w:rFonts w:eastAsia="方正仿宋_GBK"/>
          <w:color w:val="000000" w:themeColor="text1"/>
          <w:sz w:val="32"/>
          <w:szCs w:val="32"/>
        </w:rPr>
        <w:t>。从大类商品限上零售额来看，体育娱乐用品类、家具类、</w:t>
      </w:r>
      <w:r>
        <w:rPr>
          <w:rFonts w:hint="eastAsia" w:eastAsia="方正仿宋_GBK"/>
          <w:color w:val="000000" w:themeColor="text1"/>
          <w:sz w:val="32"/>
          <w:szCs w:val="32"/>
        </w:rPr>
        <w:t>通讯器材</w:t>
      </w:r>
      <w:r>
        <w:rPr>
          <w:rFonts w:eastAsia="方正仿宋_GBK"/>
          <w:color w:val="000000" w:themeColor="text1"/>
          <w:sz w:val="32"/>
          <w:szCs w:val="32"/>
        </w:rPr>
        <w:t>类表现突出，同比分别增长21.0%、19.6%、14.4%。</w:t>
      </w:r>
    </w:p>
    <w:p>
      <w:pPr>
        <w:snapToGrid w:val="0"/>
        <w:spacing w:line="560" w:lineRule="exact"/>
        <w:ind w:firstLine="48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四、对外贸易</w:t>
      </w:r>
    </w:p>
    <w:p>
      <w:pPr>
        <w:snapToGrid w:val="0"/>
        <w:spacing w:line="560" w:lineRule="exact"/>
        <w:ind w:firstLine="480"/>
        <w:rPr>
          <w:rFonts w:eastAsia="方正仿宋_GBK"/>
          <w:color w:val="FF0000"/>
          <w:sz w:val="32"/>
          <w:szCs w:val="32"/>
          <w:highlight w:val="yellow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-9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，全市实现进出口总值5160.30亿元，同比下降6.9%。其中出口总值3417.62亿元，同比下降5.8%；</w:t>
      </w:r>
      <w:r>
        <w:rPr>
          <w:rFonts w:eastAsia="方正仿宋_GBK"/>
          <w:color w:val="000000" w:themeColor="text1"/>
          <w:sz w:val="32"/>
          <w:szCs w:val="32"/>
        </w:rPr>
        <w:t>进口总值1742.68亿元，同比下降8.9%。以美元计，进出口、出口、进口总值同比分别下降12.7%、11.7%、14.7%。</w:t>
      </w:r>
    </w:p>
    <w:p>
      <w:pPr>
        <w:snapToGrid w:val="0"/>
        <w:spacing w:line="560" w:lineRule="exact"/>
        <w:ind w:firstLine="570"/>
        <w:rPr>
          <w:rFonts w:eastAsia="方正仿宋_GBK"/>
          <w:color w:val="000000" w:themeColor="text1"/>
          <w:sz w:val="32"/>
          <w:szCs w:val="32"/>
          <w:highlight w:val="yellow"/>
        </w:rPr>
      </w:pPr>
      <w:r>
        <w:rPr>
          <w:rFonts w:eastAsia="方正仿宋_GBK"/>
          <w:color w:val="000000" w:themeColor="text1"/>
          <w:sz w:val="32"/>
          <w:szCs w:val="32"/>
        </w:rPr>
        <w:t>从贸易方式看，全市一般贸易出口2121.19亿元，同比下降3.5%；加工贸易出口1084.60亿元，同比下降10.5%。</w:t>
      </w:r>
    </w:p>
    <w:p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五、金融机构</w:t>
      </w:r>
    </w:p>
    <w:p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截至9月末，全市金融机构本外币存款余额27047.66亿元，同比增长12.5%；金融机构本外币贷款余额22125.90亿元，同比增长13.1%。</w:t>
      </w:r>
    </w:p>
    <w:p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六、市场物价</w:t>
      </w:r>
    </w:p>
    <w:p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-9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居民消费价格总水平（CPI）为100.7，市场物价上涨0.7%。分品类看，食品烟酒类上涨0.7%，衣着类上涨1.0%，居住类上涨0.5%，生活用品及服务类上涨1.8%，交通通信类下降3.0%，教育文化娱乐类上涨2.4%，医疗保健类上涨3.4%，其他用品及服务类上涨4.4%。</w:t>
      </w:r>
    </w:p>
    <w:p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七、电力消耗</w:t>
      </w:r>
    </w:p>
    <w:p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-9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color w:val="000000" w:themeColor="text1"/>
          <w:sz w:val="32"/>
          <w:szCs w:val="32"/>
        </w:rPr>
        <w:t>全市实现全社会用电量644.12亿千瓦时，同比增长1.9%，</w:t>
      </w:r>
      <w:r>
        <w:rPr>
          <w:rFonts w:eastAsia="方正仿宋_GBK"/>
          <w:sz w:val="32"/>
          <w:szCs w:val="32"/>
        </w:rPr>
        <w:t>其中工业用电量为453.22亿千瓦时，同比增长2.0%。</w:t>
      </w:r>
    </w:p>
    <w:p>
      <w:pPr>
        <w:snapToGrid w:val="0"/>
        <w:spacing w:line="560" w:lineRule="exact"/>
        <w:ind w:firstLine="57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八、居民收入</w:t>
      </w:r>
    </w:p>
    <w:p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1-9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，居民人均可支配收入52865元，同比增长5.1%。其中，城镇常住居民人均可支配收入59027元，同比增长4.7%；农村常住居民人均可支配收入33232元，同比增长6.2%。</w:t>
      </w:r>
    </w:p>
    <w:sectPr>
      <w:headerReference r:id="rId3" w:type="default"/>
      <w:footerReference r:id="rId4" w:type="default"/>
      <w:pgSz w:w="11906" w:h="16838"/>
      <w:pgMar w:top="1560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5NzBmMGQ3YWRkYzdhM2IwMThhOWE5ZjBhM2Y2ZjYifQ=="/>
  </w:docVars>
  <w:rsids>
    <w:rsidRoot w:val="00172A27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10B0"/>
    <w:rsid w:val="00157164"/>
    <w:rsid w:val="00157244"/>
    <w:rsid w:val="00161568"/>
    <w:rsid w:val="001626A5"/>
    <w:rsid w:val="001633B2"/>
    <w:rsid w:val="0016705F"/>
    <w:rsid w:val="00167FF2"/>
    <w:rsid w:val="00172A27"/>
    <w:rsid w:val="001758F1"/>
    <w:rsid w:val="00177120"/>
    <w:rsid w:val="0017781A"/>
    <w:rsid w:val="00180258"/>
    <w:rsid w:val="001829D1"/>
    <w:rsid w:val="001878C0"/>
    <w:rsid w:val="00187E26"/>
    <w:rsid w:val="00191908"/>
    <w:rsid w:val="001A03FB"/>
    <w:rsid w:val="001A0BA3"/>
    <w:rsid w:val="001A76BB"/>
    <w:rsid w:val="001B19C2"/>
    <w:rsid w:val="001B3374"/>
    <w:rsid w:val="001B3BF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3C76"/>
    <w:rsid w:val="00265884"/>
    <w:rsid w:val="002658DD"/>
    <w:rsid w:val="002700D3"/>
    <w:rsid w:val="00274882"/>
    <w:rsid w:val="00276F3A"/>
    <w:rsid w:val="002803E9"/>
    <w:rsid w:val="00283660"/>
    <w:rsid w:val="002858EB"/>
    <w:rsid w:val="002873D2"/>
    <w:rsid w:val="00287C7E"/>
    <w:rsid w:val="00295984"/>
    <w:rsid w:val="002A5C7D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E7E51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50E0E"/>
    <w:rsid w:val="0035121F"/>
    <w:rsid w:val="003525AD"/>
    <w:rsid w:val="00375A09"/>
    <w:rsid w:val="00375DD9"/>
    <w:rsid w:val="00376D51"/>
    <w:rsid w:val="00377E0A"/>
    <w:rsid w:val="00381462"/>
    <w:rsid w:val="0038340D"/>
    <w:rsid w:val="00383913"/>
    <w:rsid w:val="0038559A"/>
    <w:rsid w:val="00390900"/>
    <w:rsid w:val="00394548"/>
    <w:rsid w:val="00395548"/>
    <w:rsid w:val="0039736E"/>
    <w:rsid w:val="003A0A1B"/>
    <w:rsid w:val="003A0A69"/>
    <w:rsid w:val="003A1B18"/>
    <w:rsid w:val="003B5D2A"/>
    <w:rsid w:val="003B6236"/>
    <w:rsid w:val="003B6B84"/>
    <w:rsid w:val="003D03A4"/>
    <w:rsid w:val="003E056A"/>
    <w:rsid w:val="003F03AF"/>
    <w:rsid w:val="003F7736"/>
    <w:rsid w:val="00402A13"/>
    <w:rsid w:val="00406213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1FF2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A58CC"/>
    <w:rsid w:val="004B0DDA"/>
    <w:rsid w:val="004B128D"/>
    <w:rsid w:val="004B1F8F"/>
    <w:rsid w:val="004C140B"/>
    <w:rsid w:val="004D07E0"/>
    <w:rsid w:val="004D3722"/>
    <w:rsid w:val="004D70C1"/>
    <w:rsid w:val="004E3DA1"/>
    <w:rsid w:val="004E4DED"/>
    <w:rsid w:val="004E5B75"/>
    <w:rsid w:val="004F077A"/>
    <w:rsid w:val="004F2202"/>
    <w:rsid w:val="004F26BC"/>
    <w:rsid w:val="004F31CD"/>
    <w:rsid w:val="004F5802"/>
    <w:rsid w:val="005004DE"/>
    <w:rsid w:val="00500D37"/>
    <w:rsid w:val="00510734"/>
    <w:rsid w:val="0052081D"/>
    <w:rsid w:val="00523CAA"/>
    <w:rsid w:val="00525E6C"/>
    <w:rsid w:val="0053232B"/>
    <w:rsid w:val="00533FE1"/>
    <w:rsid w:val="00547C00"/>
    <w:rsid w:val="00547DD7"/>
    <w:rsid w:val="00550474"/>
    <w:rsid w:val="005546FC"/>
    <w:rsid w:val="00555058"/>
    <w:rsid w:val="00555289"/>
    <w:rsid w:val="00561045"/>
    <w:rsid w:val="00561C12"/>
    <w:rsid w:val="00563D5F"/>
    <w:rsid w:val="005649DA"/>
    <w:rsid w:val="00566879"/>
    <w:rsid w:val="00566EC1"/>
    <w:rsid w:val="00577496"/>
    <w:rsid w:val="005807CB"/>
    <w:rsid w:val="0058143D"/>
    <w:rsid w:val="0058203E"/>
    <w:rsid w:val="005830CB"/>
    <w:rsid w:val="00586350"/>
    <w:rsid w:val="005870E6"/>
    <w:rsid w:val="005A7D0A"/>
    <w:rsid w:val="005C0C12"/>
    <w:rsid w:val="005C0EA1"/>
    <w:rsid w:val="005C18A8"/>
    <w:rsid w:val="005D1027"/>
    <w:rsid w:val="005D5D00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15B85"/>
    <w:rsid w:val="00621F10"/>
    <w:rsid w:val="006328B3"/>
    <w:rsid w:val="00633711"/>
    <w:rsid w:val="006343DE"/>
    <w:rsid w:val="006373E3"/>
    <w:rsid w:val="00645445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136F"/>
    <w:rsid w:val="006A2673"/>
    <w:rsid w:val="006A4553"/>
    <w:rsid w:val="006A4930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E6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3119D"/>
    <w:rsid w:val="007327F3"/>
    <w:rsid w:val="00742D1B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57F2E"/>
    <w:rsid w:val="0086063B"/>
    <w:rsid w:val="00860AE8"/>
    <w:rsid w:val="008715A6"/>
    <w:rsid w:val="00874BA4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E692C"/>
    <w:rsid w:val="008F1C47"/>
    <w:rsid w:val="008F4D59"/>
    <w:rsid w:val="008F5AAD"/>
    <w:rsid w:val="008F7BC6"/>
    <w:rsid w:val="0090255B"/>
    <w:rsid w:val="00903884"/>
    <w:rsid w:val="00904E76"/>
    <w:rsid w:val="00905A4D"/>
    <w:rsid w:val="009130D0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365CD"/>
    <w:rsid w:val="00945A21"/>
    <w:rsid w:val="009465A9"/>
    <w:rsid w:val="0094767F"/>
    <w:rsid w:val="00947809"/>
    <w:rsid w:val="009478BD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926A3"/>
    <w:rsid w:val="00992FF9"/>
    <w:rsid w:val="00994176"/>
    <w:rsid w:val="00994774"/>
    <w:rsid w:val="00997BD8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D7687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50BB"/>
    <w:rsid w:val="00A161F3"/>
    <w:rsid w:val="00A231CF"/>
    <w:rsid w:val="00A417BE"/>
    <w:rsid w:val="00A43886"/>
    <w:rsid w:val="00A4428F"/>
    <w:rsid w:val="00A47C83"/>
    <w:rsid w:val="00A55E40"/>
    <w:rsid w:val="00A6104C"/>
    <w:rsid w:val="00A61C3E"/>
    <w:rsid w:val="00A63E82"/>
    <w:rsid w:val="00A6431C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508A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3B0B"/>
    <w:rsid w:val="00B55429"/>
    <w:rsid w:val="00B56472"/>
    <w:rsid w:val="00B60418"/>
    <w:rsid w:val="00B613E3"/>
    <w:rsid w:val="00B677CB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6F9D"/>
    <w:rsid w:val="00BA730B"/>
    <w:rsid w:val="00BC10A1"/>
    <w:rsid w:val="00BC124B"/>
    <w:rsid w:val="00BC1885"/>
    <w:rsid w:val="00BC38DB"/>
    <w:rsid w:val="00BC4027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9D4"/>
    <w:rsid w:val="00C40BD0"/>
    <w:rsid w:val="00C42481"/>
    <w:rsid w:val="00C434B8"/>
    <w:rsid w:val="00C44B62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D23"/>
    <w:rsid w:val="00CA22AA"/>
    <w:rsid w:val="00CA672C"/>
    <w:rsid w:val="00CB21AD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302"/>
    <w:rsid w:val="00CF1DC0"/>
    <w:rsid w:val="00CF2A17"/>
    <w:rsid w:val="00CF32C4"/>
    <w:rsid w:val="00CF3728"/>
    <w:rsid w:val="00CF4298"/>
    <w:rsid w:val="00D02A48"/>
    <w:rsid w:val="00D10855"/>
    <w:rsid w:val="00D11F6A"/>
    <w:rsid w:val="00D21445"/>
    <w:rsid w:val="00D244CE"/>
    <w:rsid w:val="00D24B33"/>
    <w:rsid w:val="00D252E6"/>
    <w:rsid w:val="00D30001"/>
    <w:rsid w:val="00D30EF8"/>
    <w:rsid w:val="00D36863"/>
    <w:rsid w:val="00D37B23"/>
    <w:rsid w:val="00D462CE"/>
    <w:rsid w:val="00D54071"/>
    <w:rsid w:val="00D64116"/>
    <w:rsid w:val="00D646A5"/>
    <w:rsid w:val="00D70DC9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56EF"/>
    <w:rsid w:val="00E2603F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31DE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0720"/>
    <w:rsid w:val="00EB1409"/>
    <w:rsid w:val="00EB1E9E"/>
    <w:rsid w:val="00EB2293"/>
    <w:rsid w:val="00EB2679"/>
    <w:rsid w:val="00EB2AB2"/>
    <w:rsid w:val="00EB2E41"/>
    <w:rsid w:val="00EB5085"/>
    <w:rsid w:val="00EB5A4E"/>
    <w:rsid w:val="00EC3D39"/>
    <w:rsid w:val="00EC5BF4"/>
    <w:rsid w:val="00ED2126"/>
    <w:rsid w:val="00ED54DF"/>
    <w:rsid w:val="00ED5FB8"/>
    <w:rsid w:val="00ED6A3C"/>
    <w:rsid w:val="00ED7F95"/>
    <w:rsid w:val="00EE44D2"/>
    <w:rsid w:val="00EF09B5"/>
    <w:rsid w:val="00EF336F"/>
    <w:rsid w:val="00F02D19"/>
    <w:rsid w:val="00F041F6"/>
    <w:rsid w:val="00F06075"/>
    <w:rsid w:val="00F1301E"/>
    <w:rsid w:val="00F13E82"/>
    <w:rsid w:val="00F17A49"/>
    <w:rsid w:val="00F253E9"/>
    <w:rsid w:val="00F336CE"/>
    <w:rsid w:val="00F43EB7"/>
    <w:rsid w:val="00F47C72"/>
    <w:rsid w:val="00F47E74"/>
    <w:rsid w:val="00F52314"/>
    <w:rsid w:val="00F53633"/>
    <w:rsid w:val="00F546D6"/>
    <w:rsid w:val="00F561FE"/>
    <w:rsid w:val="00F6263C"/>
    <w:rsid w:val="00F65D0C"/>
    <w:rsid w:val="00F66899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92164C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30" w:firstLineChars="200"/>
      <w:jc w:val="left"/>
    </w:pPr>
    <w:rPr>
      <w:sz w:val="32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2 Char"/>
    <w:link w:val="1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2">
    <w:name w:val="标题2"/>
    <w:basedOn w:val="1"/>
    <w:next w:val="1"/>
    <w:link w:val="1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3">
    <w:name w:val="标题3 Char"/>
    <w:link w:val="14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4">
    <w:name w:val="标题3"/>
    <w:basedOn w:val="1"/>
    <w:next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</w:rPr>
  </w:style>
  <w:style w:type="character" w:customStyle="1" w:styleId="17">
    <w:name w:val="正文文本缩进 Char"/>
    <w:basedOn w:val="8"/>
    <w:link w:val="2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CE08-A67E-4224-848E-4A52AA057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185</Words>
  <Characters>1055</Characters>
  <Lines>8</Lines>
  <Paragraphs>2</Paragraphs>
  <TotalTime>684</TotalTime>
  <ScaleCrop>false</ScaleCrop>
  <LinksUpToDate>false</LinksUpToDate>
  <CharactersWithSpaces>1238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2022-04-21T05:03:00Z</dcterms:created>
  <dc:creator>zl</dc:creator>
  <cp:lastModifiedBy>若有其事</cp:lastModifiedBy>
  <cp:lastPrinted>2023-04-25T05:14:00Z</cp:lastPrinted>
  <dcterms:modified xsi:type="dcterms:W3CDTF">2023-10-25T08:15:33Z</dcterms:modified>
  <dc:title>进一步明确民生幸福工程路线图和时间表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