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161231">
      <w:pPr>
        <w:keepNext w:val="0"/>
        <w:keepLines w:val="0"/>
        <w:pageBreakBefore w:val="0"/>
        <w:widowControl w:val="0"/>
        <w:kinsoku/>
        <w:wordWrap/>
        <w:overflowPunct/>
        <w:topLinePunct w:val="0"/>
        <w:autoSpaceDE/>
        <w:autoSpaceDN/>
        <w:bidi w:val="0"/>
        <w:adjustRightInd w:val="0"/>
        <w:snapToGrid/>
        <w:spacing w:after="581" w:afterLines="100" w:line="600" w:lineRule="exact"/>
        <w:jc w:val="center"/>
        <w:textAlignment w:val="auto"/>
        <w:rPr>
          <w:rFonts w:hint="eastAsia" w:ascii="方正小标宋_GBK" w:hAnsi="方正小标宋_GBK" w:eastAsia="方正小标宋_GBK" w:cs="方正小标宋_GBK"/>
          <w:sz w:val="36"/>
          <w:szCs w:val="36"/>
        </w:rPr>
      </w:pPr>
      <w:bookmarkStart w:id="0" w:name="_GoBack"/>
      <w:bookmarkEnd w:id="0"/>
      <w:r>
        <w:rPr>
          <w:rFonts w:hint="eastAsia" w:ascii="方正小标宋_GBK" w:hAnsi="方正小标宋_GBK" w:eastAsia="方正小标宋_GBK" w:cs="方正小标宋_GBK"/>
          <w:sz w:val="36"/>
          <w:szCs w:val="36"/>
        </w:rPr>
        <w:t>2024年1—</w:t>
      </w:r>
      <w:r>
        <w:rPr>
          <w:rFonts w:hint="eastAsia" w:ascii="方正小标宋_GBK" w:hAnsi="方正小标宋_GBK" w:eastAsia="方正小标宋_GBK" w:cs="方正小标宋_GBK"/>
          <w:sz w:val="36"/>
          <w:szCs w:val="36"/>
          <w:lang w:val="en-US" w:eastAsia="zh-CN"/>
        </w:rPr>
        <w:t>9</w:t>
      </w:r>
      <w:r>
        <w:rPr>
          <w:rFonts w:hint="eastAsia" w:ascii="方正小标宋_GBK" w:hAnsi="方正小标宋_GBK" w:eastAsia="方正小标宋_GBK" w:cs="方正小标宋_GBK"/>
          <w:sz w:val="36"/>
          <w:szCs w:val="36"/>
        </w:rPr>
        <w:t>月无锡市国民经济运行情况综述</w:t>
      </w:r>
    </w:p>
    <w:p w14:paraId="29C4A563">
      <w:pPr>
        <w:adjustRightInd w:val="0"/>
        <w:spacing w:line="600" w:lineRule="exact"/>
        <w:ind w:firstLine="640" w:firstLineChars="200"/>
        <w:rPr>
          <w:rFonts w:ascii="Times New Roman" w:hAnsi="Times New Roman" w:eastAsia="方正仿宋_GBK" w:cs="Times New Roman"/>
        </w:rPr>
      </w:pPr>
      <w:r>
        <w:rPr>
          <w:rFonts w:hint="eastAsia" w:ascii="Times New Roman" w:hAnsi="Times New Roman" w:eastAsia="方正仿宋_GBK" w:cs="Times New Roman"/>
        </w:rPr>
        <w:t>今年以来，全市上下深入学习贯彻党的二十届三中全会精神和习近平总书记对江苏工作重要讲话精神，认真落实党中央、国务院和省委、省政府决策部署，坚持稳中求进工作总基调，全力以赴稳增长促发展。前三季度，全市生产需求平稳增长，经济结构持续优化，新质生产力加快发展，高质量发展稳步推进，推动经济回升向好的积极因素不断增多，</w:t>
      </w:r>
      <w:r>
        <w:rPr>
          <w:rFonts w:ascii="Times New Roman" w:hAnsi="Times New Roman" w:eastAsia="方正仿宋_GBK" w:cs="Times New Roman"/>
        </w:rPr>
        <w:t>经济运行</w:t>
      </w:r>
      <w:r>
        <w:rPr>
          <w:rFonts w:hint="eastAsia" w:ascii="Times New Roman" w:hAnsi="Times New Roman" w:eastAsia="方正仿宋_GBK" w:cs="Times New Roman"/>
        </w:rPr>
        <w:t>延续</w:t>
      </w:r>
      <w:r>
        <w:rPr>
          <w:rFonts w:ascii="Times New Roman" w:hAnsi="Times New Roman" w:eastAsia="方正仿宋_GBK" w:cs="Times New Roman"/>
        </w:rPr>
        <w:t>总体平稳</w:t>
      </w:r>
      <w:r>
        <w:rPr>
          <w:rFonts w:hint="eastAsia" w:ascii="Times New Roman" w:hAnsi="Times New Roman" w:eastAsia="方正仿宋_GBK" w:cs="Times New Roman"/>
        </w:rPr>
        <w:t>、稳中有进、稳中向好态势。</w:t>
      </w:r>
      <w:r>
        <w:rPr>
          <w:rFonts w:ascii="Times New Roman" w:hAnsi="Times New Roman" w:eastAsia="方正仿宋_GBK" w:cs="Times New Roman"/>
        </w:rPr>
        <w:t xml:space="preserve"> </w:t>
      </w:r>
    </w:p>
    <w:p w14:paraId="78099AA8">
      <w:pPr>
        <w:adjustRightInd w:val="0"/>
        <w:spacing w:line="600" w:lineRule="exact"/>
        <w:ind w:firstLine="640" w:firstLineChars="200"/>
        <w:rPr>
          <w:rFonts w:ascii="Times New Roman" w:hAnsi="Times New Roman" w:eastAsia="方正仿宋_GBK" w:cs="Times New Roman"/>
        </w:rPr>
      </w:pPr>
      <w:r>
        <w:rPr>
          <w:rFonts w:ascii="Times New Roman" w:hAnsi="Times New Roman" w:eastAsia="方正仿宋_GBK" w:cs="Times New Roman"/>
        </w:rPr>
        <w:t>根据地区生产总值统一核算结果，</w:t>
      </w:r>
      <w:r>
        <w:rPr>
          <w:rFonts w:hint="eastAsia" w:ascii="Times New Roman" w:hAnsi="Times New Roman" w:eastAsia="方正仿宋_GBK" w:cs="Times New Roman"/>
        </w:rPr>
        <w:t>前三季度</w:t>
      </w:r>
      <w:r>
        <w:rPr>
          <w:rFonts w:ascii="Times New Roman" w:hAnsi="Times New Roman" w:eastAsia="方正仿宋_GBK" w:cs="Times New Roman"/>
        </w:rPr>
        <w:t>全市实现地区生产总值11481.55亿元，按不变价格计算，同比增长6.0%。其中，第一产业增加值82.87亿元，同比增长1</w:t>
      </w:r>
      <w:r>
        <w:rPr>
          <w:rFonts w:hint="eastAsia" w:ascii="Times New Roman" w:hAnsi="Times New Roman" w:eastAsia="方正仿宋_GBK" w:cs="Times New Roman"/>
        </w:rPr>
        <w:t>.</w:t>
      </w:r>
      <w:r>
        <w:rPr>
          <w:rFonts w:ascii="Times New Roman" w:hAnsi="Times New Roman" w:eastAsia="方正仿宋_GBK" w:cs="Times New Roman"/>
        </w:rPr>
        <w:t>6%；第二产业增加值5363.70亿元，同比增长6</w:t>
      </w:r>
      <w:r>
        <w:rPr>
          <w:rFonts w:hint="eastAsia" w:ascii="Times New Roman" w:hAnsi="Times New Roman" w:eastAsia="方正仿宋_GBK" w:cs="Times New Roman"/>
        </w:rPr>
        <w:t>.</w:t>
      </w:r>
      <w:r>
        <w:rPr>
          <w:rFonts w:ascii="Times New Roman" w:hAnsi="Times New Roman" w:eastAsia="方正仿宋_GBK" w:cs="Times New Roman"/>
        </w:rPr>
        <w:t>3%；第三产业增加值6034.98亿元，同比增长5</w:t>
      </w:r>
      <w:r>
        <w:rPr>
          <w:rFonts w:hint="eastAsia" w:ascii="Times New Roman" w:hAnsi="Times New Roman" w:eastAsia="方正仿宋_GBK" w:cs="Times New Roman"/>
        </w:rPr>
        <w:t>.</w:t>
      </w:r>
      <w:r>
        <w:rPr>
          <w:rFonts w:ascii="Times New Roman" w:hAnsi="Times New Roman" w:eastAsia="方正仿宋_GBK" w:cs="Times New Roman"/>
        </w:rPr>
        <w:t>7%。</w:t>
      </w:r>
    </w:p>
    <w:p w14:paraId="237F1B1D">
      <w:pPr>
        <w:adjustRightInd w:val="0"/>
        <w:spacing w:line="600" w:lineRule="exact"/>
        <w:ind w:firstLine="640" w:firstLineChars="200"/>
        <w:rPr>
          <w:rFonts w:ascii="Times New Roman" w:hAnsi="Times New Roman" w:eastAsia="方正黑体_GBK" w:cs="Times New Roman"/>
          <w:color w:val="000000" w:themeColor="text1"/>
          <w14:textFill>
            <w14:solidFill>
              <w14:schemeClr w14:val="tx1"/>
            </w14:solidFill>
          </w14:textFill>
        </w:rPr>
      </w:pPr>
      <w:r>
        <w:rPr>
          <w:rFonts w:ascii="Times New Roman" w:hAnsi="Times New Roman" w:eastAsia="方正黑体_GBK" w:cs="Times New Roman"/>
          <w:color w:val="000000" w:themeColor="text1"/>
          <w14:textFill>
            <w14:solidFill>
              <w14:schemeClr w14:val="tx1"/>
            </w14:solidFill>
          </w14:textFill>
        </w:rPr>
        <w:t>一、农业生产有序</w:t>
      </w:r>
      <w:r>
        <w:rPr>
          <w:rFonts w:hint="eastAsia" w:ascii="Times New Roman" w:hAnsi="Times New Roman" w:eastAsia="方正黑体_GBK" w:cs="Times New Roman"/>
          <w:color w:val="000000" w:themeColor="text1"/>
          <w14:textFill>
            <w14:solidFill>
              <w14:schemeClr w14:val="tx1"/>
            </w14:solidFill>
          </w14:textFill>
        </w:rPr>
        <w:t>推进</w:t>
      </w:r>
      <w:r>
        <w:rPr>
          <w:rFonts w:ascii="Times New Roman" w:hAnsi="Times New Roman" w:eastAsia="方正黑体_GBK" w:cs="Times New Roman"/>
          <w:color w:val="000000" w:themeColor="text1"/>
          <w14:textFill>
            <w14:solidFill>
              <w14:schemeClr w14:val="tx1"/>
            </w14:solidFill>
          </w14:textFill>
        </w:rPr>
        <w:t>，产品产量</w:t>
      </w:r>
      <w:r>
        <w:rPr>
          <w:rFonts w:hint="eastAsia" w:ascii="Times New Roman" w:hAnsi="Times New Roman" w:eastAsia="方正黑体_GBK" w:cs="Times New Roman"/>
          <w:color w:val="000000" w:themeColor="text1"/>
          <w14:textFill>
            <w14:solidFill>
              <w14:schemeClr w14:val="tx1"/>
            </w14:solidFill>
          </w14:textFill>
        </w:rPr>
        <w:t>稳定</w:t>
      </w:r>
      <w:r>
        <w:rPr>
          <w:rFonts w:ascii="Times New Roman" w:hAnsi="Times New Roman" w:eastAsia="方正黑体_GBK" w:cs="Times New Roman"/>
          <w:color w:val="000000" w:themeColor="text1"/>
          <w14:textFill>
            <w14:solidFill>
              <w14:schemeClr w14:val="tx1"/>
            </w14:solidFill>
          </w14:textFill>
        </w:rPr>
        <w:t>增长</w:t>
      </w:r>
    </w:p>
    <w:p w14:paraId="5E3FF995">
      <w:pPr>
        <w:adjustRightInd w:val="0"/>
        <w:spacing w:line="600" w:lineRule="exact"/>
        <w:ind w:firstLine="640" w:firstLineChars="200"/>
        <w:rPr>
          <w:rFonts w:ascii="Times New Roman" w:hAnsi="Times New Roman" w:eastAsia="方正仿宋_GBK" w:cs="Times New Roman"/>
        </w:rPr>
      </w:pPr>
      <w:r>
        <w:rPr>
          <w:rFonts w:hint="eastAsia" w:ascii="Times New Roman" w:hAnsi="Times New Roman" w:eastAsia="方正仿宋_GBK" w:cs="Times New Roman"/>
        </w:rPr>
        <w:t>前三季度，全市农林牧渔业总产值145.61亿元，按可比价同比增长2.0%。从主要农产品看，蔬菜产量86.88万吨，同比增长1.3%；园林水果产量15.39万吨，同比增长1.7%；水产品产量6.09万吨，同比增长0.1%。生猪出栏9.41万头，同比增长59.9%；猪肉产量0.76万吨，同比增长62.1%；生牛奶产量0.47万吨，同比增长16.8%。</w:t>
      </w:r>
    </w:p>
    <w:p w14:paraId="57569EFF">
      <w:pPr>
        <w:adjustRightInd w:val="0"/>
        <w:spacing w:line="600" w:lineRule="exact"/>
        <w:ind w:firstLine="640" w:firstLineChars="200"/>
        <w:rPr>
          <w:rFonts w:ascii="Times New Roman" w:hAnsi="Times New Roman" w:eastAsia="方正黑体_GBK" w:cs="Times New Roman"/>
        </w:rPr>
      </w:pPr>
      <w:r>
        <w:rPr>
          <w:rFonts w:ascii="Times New Roman" w:hAnsi="Times New Roman" w:eastAsia="方正黑体_GBK" w:cs="Times New Roman"/>
        </w:rPr>
        <w:t>二、工业生产</w:t>
      </w:r>
      <w:r>
        <w:rPr>
          <w:rFonts w:hint="eastAsia" w:ascii="Times New Roman" w:hAnsi="Times New Roman" w:eastAsia="方正黑体_GBK" w:cs="Times New Roman"/>
        </w:rPr>
        <w:t>平稳增长</w:t>
      </w:r>
      <w:r>
        <w:rPr>
          <w:rFonts w:ascii="Times New Roman" w:hAnsi="Times New Roman" w:eastAsia="方正黑体_GBK" w:cs="Times New Roman"/>
        </w:rPr>
        <w:t>，</w:t>
      </w:r>
      <w:r>
        <w:rPr>
          <w:rFonts w:hint="eastAsia" w:ascii="Times New Roman" w:hAnsi="Times New Roman" w:eastAsia="方正黑体_GBK" w:cs="Times New Roman"/>
        </w:rPr>
        <w:t>民营经济贡献突出</w:t>
      </w:r>
    </w:p>
    <w:p w14:paraId="311E7C9F">
      <w:pPr>
        <w:adjustRightInd w:val="0"/>
        <w:spacing w:line="600" w:lineRule="exact"/>
        <w:ind w:firstLine="640" w:firstLineChars="200"/>
        <w:rPr>
          <w:rFonts w:ascii="Times New Roman" w:hAnsi="Times New Roman" w:eastAsia="方正仿宋_GBK" w:cs="Times New Roman"/>
        </w:rPr>
      </w:pPr>
      <w:r>
        <w:rPr>
          <w:rFonts w:hint="eastAsia" w:ascii="Times New Roman" w:hAnsi="Times New Roman" w:eastAsia="方正仿宋_GBK" w:cs="Times New Roman"/>
        </w:rPr>
        <w:t>前三季度</w:t>
      </w:r>
      <w:r>
        <w:rPr>
          <w:rFonts w:ascii="Times New Roman" w:hAnsi="Times New Roman" w:eastAsia="方正仿宋_GBK" w:cs="Times New Roman"/>
        </w:rPr>
        <w:t>，全市规模以上工业增加值同比增长6</w:t>
      </w:r>
      <w:r>
        <w:rPr>
          <w:rFonts w:hint="eastAsia" w:ascii="Times New Roman" w:hAnsi="Times New Roman" w:eastAsia="方正仿宋_GBK" w:cs="Times New Roman"/>
        </w:rPr>
        <w:t>.</w:t>
      </w:r>
      <w:r>
        <w:rPr>
          <w:rFonts w:ascii="Times New Roman" w:hAnsi="Times New Roman" w:eastAsia="方正仿宋_GBK" w:cs="Times New Roman"/>
        </w:rPr>
        <w:t>7%</w:t>
      </w:r>
      <w:r>
        <w:rPr>
          <w:rFonts w:hint="eastAsia" w:ascii="Times New Roman" w:hAnsi="Times New Roman" w:eastAsia="方正仿宋_GBK" w:cs="Times New Roman"/>
        </w:rPr>
        <w:t>。分行业看，全市33个行业大类中，有28个行业增加值同比增长，行业增长面84.8%。十大工业行业增加值“九增一降”，其中电子行业呈现较快复苏增长态势，增加值同比增长10.1%，高于规模以上工业平均水平3.4个百分点，对全部规模以上工业增长贡献率达27.3%。</w:t>
      </w:r>
      <w:r>
        <w:rPr>
          <w:rFonts w:ascii="Times New Roman" w:hAnsi="Times New Roman" w:eastAsia="方正仿宋_GBK" w:cs="Times New Roman"/>
        </w:rPr>
        <w:t>从</w:t>
      </w:r>
      <w:r>
        <w:rPr>
          <w:rFonts w:hint="eastAsia" w:ascii="Times New Roman" w:hAnsi="Times New Roman" w:eastAsia="方正仿宋_GBK" w:cs="Times New Roman"/>
        </w:rPr>
        <w:t>经营主体看</w:t>
      </w:r>
      <w:r>
        <w:rPr>
          <w:rFonts w:ascii="Times New Roman" w:hAnsi="Times New Roman" w:eastAsia="方正仿宋_GBK" w:cs="Times New Roman"/>
        </w:rPr>
        <w:t>，</w:t>
      </w:r>
      <w:r>
        <w:rPr>
          <w:rFonts w:hint="eastAsia" w:ascii="Times New Roman" w:hAnsi="Times New Roman" w:eastAsia="方正仿宋_GBK" w:cs="Times New Roman"/>
        </w:rPr>
        <w:t>规模以上民营企业工业增加值同比增长7.5%，高于全市平均水平0.8个百分点，对工业增长贡献较为突出。</w:t>
      </w:r>
      <w:r>
        <w:rPr>
          <w:rFonts w:ascii="Times New Roman" w:hAnsi="Times New Roman" w:eastAsia="方正仿宋_GBK" w:cs="Times New Roman"/>
        </w:rPr>
        <w:t xml:space="preserve"> </w:t>
      </w:r>
    </w:p>
    <w:p w14:paraId="799FAD62">
      <w:pPr>
        <w:adjustRightInd w:val="0"/>
        <w:spacing w:line="600" w:lineRule="exact"/>
        <w:ind w:firstLine="640" w:firstLineChars="200"/>
        <w:rPr>
          <w:rFonts w:ascii="Times New Roman" w:hAnsi="Times New Roman" w:eastAsia="方正黑体_GBK" w:cs="Times New Roman"/>
        </w:rPr>
      </w:pPr>
      <w:r>
        <w:rPr>
          <w:rFonts w:ascii="Times New Roman" w:hAnsi="Times New Roman" w:eastAsia="方正黑体_GBK" w:cs="Times New Roman"/>
        </w:rPr>
        <w:t>三、服务业</w:t>
      </w:r>
      <w:r>
        <w:rPr>
          <w:rFonts w:hint="eastAsia" w:ascii="Times New Roman" w:hAnsi="Times New Roman" w:eastAsia="方正黑体_GBK" w:cs="Times New Roman"/>
        </w:rPr>
        <w:t>持续向好</w:t>
      </w:r>
      <w:r>
        <w:rPr>
          <w:rFonts w:ascii="Times New Roman" w:hAnsi="Times New Roman" w:eastAsia="方正黑体_GBK" w:cs="Times New Roman"/>
        </w:rPr>
        <w:t>，</w:t>
      </w:r>
      <w:r>
        <w:rPr>
          <w:rFonts w:hint="eastAsia" w:ascii="Times New Roman" w:hAnsi="Times New Roman" w:eastAsia="方正黑体_GBK" w:cs="Times New Roman"/>
        </w:rPr>
        <w:t>现代服务业增势强劲</w:t>
      </w:r>
    </w:p>
    <w:p w14:paraId="7DCB8FB2">
      <w:pPr>
        <w:adjustRightInd w:val="0"/>
        <w:spacing w:line="600" w:lineRule="exact"/>
        <w:ind w:firstLine="640" w:firstLineChars="200"/>
        <w:rPr>
          <w:rFonts w:ascii="Times New Roman" w:hAnsi="Times New Roman" w:eastAsia="方正仿宋_GBK" w:cs="Times New Roman"/>
        </w:rPr>
      </w:pPr>
      <w:r>
        <w:rPr>
          <w:rFonts w:hint="eastAsia" w:ascii="Times New Roman" w:hAnsi="Times New Roman" w:eastAsia="方正仿宋_GBK" w:cs="Times New Roman"/>
        </w:rPr>
        <w:t>1-</w:t>
      </w:r>
      <w:r>
        <w:rPr>
          <w:rFonts w:ascii="Times New Roman" w:hAnsi="Times New Roman" w:eastAsia="方正仿宋_GBK" w:cs="Times New Roman"/>
        </w:rPr>
        <w:t>8</w:t>
      </w:r>
      <w:r>
        <w:rPr>
          <w:rFonts w:hint="eastAsia" w:ascii="Times New Roman" w:hAnsi="Times New Roman" w:eastAsia="方正仿宋_GBK" w:cs="Times New Roman"/>
        </w:rPr>
        <w:t>月</w:t>
      </w:r>
      <w:r>
        <w:rPr>
          <w:rFonts w:ascii="Times New Roman" w:hAnsi="Times New Roman" w:eastAsia="方正仿宋_GBK" w:cs="Times New Roman"/>
        </w:rPr>
        <w:t>，</w:t>
      </w:r>
      <w:r>
        <w:rPr>
          <w:rFonts w:hint="eastAsia" w:ascii="Times New Roman" w:hAnsi="Times New Roman" w:eastAsia="方正仿宋_GBK" w:cs="Times New Roman"/>
        </w:rPr>
        <w:t>全市规模以上服务业实现营业收入1509.05亿元，同比增长13.7%</w:t>
      </w:r>
      <w:r>
        <w:rPr>
          <w:rFonts w:ascii="Times New Roman" w:hAnsi="Times New Roman" w:eastAsia="方正仿宋_GBK" w:cs="Times New Roman"/>
        </w:rPr>
        <w:t>。</w:t>
      </w:r>
      <w:r>
        <w:rPr>
          <w:rFonts w:hint="eastAsia" w:ascii="Times New Roman" w:hAnsi="Times New Roman" w:eastAsia="方正仿宋_GBK" w:cs="Times New Roman"/>
        </w:rPr>
        <w:t>分行业看，软件和信息技术服务业、商务服务业、互联网和相关服务业三个行业均呈现两位数增长，对规模以上服务业营业收入增长贡献进一步提高，合计拉动全市规模以上服务业增长9.3个百分点。</w:t>
      </w:r>
      <w:r>
        <w:rPr>
          <w:rFonts w:ascii="Times New Roman" w:hAnsi="Times New Roman" w:eastAsia="方正仿宋_GBK" w:cs="Times New Roman"/>
        </w:rPr>
        <w:t>现代服务业</w:t>
      </w:r>
      <w:r>
        <w:rPr>
          <w:rFonts w:hint="eastAsia" w:ascii="Times New Roman" w:hAnsi="Times New Roman" w:eastAsia="方正仿宋_GBK" w:cs="Times New Roman"/>
        </w:rPr>
        <w:t>增势强劲</w:t>
      </w:r>
      <w:r>
        <w:rPr>
          <w:rFonts w:ascii="Times New Roman" w:hAnsi="Times New Roman" w:eastAsia="方正仿宋_GBK" w:cs="Times New Roman"/>
        </w:rPr>
        <w:t>，</w:t>
      </w:r>
      <w:r>
        <w:rPr>
          <w:rFonts w:hint="eastAsia" w:ascii="Times New Roman" w:hAnsi="Times New Roman" w:eastAsia="方正仿宋_GBK" w:cs="Times New Roman"/>
        </w:rPr>
        <w:t>规模以上高技术服务业营业收入同比增长17.9%，</w:t>
      </w:r>
      <w:r>
        <w:rPr>
          <w:rFonts w:ascii="Times New Roman" w:hAnsi="Times New Roman" w:eastAsia="方正仿宋_GBK" w:cs="Times New Roman"/>
        </w:rPr>
        <w:t>规模以上科技服务业营业收入同比增长13.9%。</w:t>
      </w:r>
    </w:p>
    <w:p w14:paraId="05548CB0">
      <w:pPr>
        <w:adjustRightInd w:val="0"/>
        <w:spacing w:line="600" w:lineRule="exact"/>
        <w:ind w:firstLine="640" w:firstLineChars="200"/>
        <w:rPr>
          <w:rFonts w:ascii="Times New Roman" w:hAnsi="Times New Roman" w:eastAsia="方正黑体_GBK" w:cs="Times New Roman"/>
        </w:rPr>
      </w:pPr>
      <w:r>
        <w:rPr>
          <w:rFonts w:ascii="Times New Roman" w:hAnsi="Times New Roman" w:eastAsia="方正黑体_GBK" w:cs="Times New Roman"/>
        </w:rPr>
        <w:t>四、消费市场</w:t>
      </w:r>
      <w:r>
        <w:rPr>
          <w:rFonts w:hint="eastAsia" w:ascii="Times New Roman" w:hAnsi="Times New Roman" w:eastAsia="方正黑体_GBK" w:cs="Times New Roman"/>
        </w:rPr>
        <w:t>持续活跃</w:t>
      </w:r>
      <w:r>
        <w:rPr>
          <w:rFonts w:ascii="Times New Roman" w:hAnsi="Times New Roman" w:eastAsia="方正黑体_GBK" w:cs="Times New Roman"/>
        </w:rPr>
        <w:t>，</w:t>
      </w:r>
      <w:r>
        <w:rPr>
          <w:rFonts w:hint="eastAsia" w:ascii="Times New Roman" w:hAnsi="Times New Roman" w:eastAsia="方正黑体_GBK" w:cs="Times New Roman"/>
        </w:rPr>
        <w:t>新型消费快速发展</w:t>
      </w:r>
    </w:p>
    <w:p w14:paraId="17A5FA81">
      <w:pPr>
        <w:adjustRightInd w:val="0"/>
        <w:spacing w:line="600" w:lineRule="exact"/>
        <w:ind w:firstLine="640" w:firstLineChars="200"/>
        <w:rPr>
          <w:rFonts w:ascii="Times New Roman" w:hAnsi="Times New Roman" w:eastAsia="方正仿宋_GBK" w:cs="Times New Roman"/>
        </w:rPr>
      </w:pPr>
      <w:r>
        <w:rPr>
          <w:rFonts w:ascii="Times New Roman" w:hAnsi="Times New Roman" w:eastAsia="方正仿宋_GBK" w:cs="Times New Roman"/>
        </w:rPr>
        <w:t>前三季度，全市社会消费品零售总额</w:t>
      </w:r>
      <w:r>
        <w:rPr>
          <w:rFonts w:hint="eastAsia" w:ascii="Times New Roman" w:hAnsi="Times New Roman" w:eastAsia="方正仿宋_GBK" w:cs="Times New Roman"/>
        </w:rPr>
        <w:t>2783.41</w:t>
      </w:r>
      <w:r>
        <w:rPr>
          <w:rFonts w:ascii="Times New Roman" w:hAnsi="Times New Roman" w:eastAsia="方正仿宋_GBK" w:cs="Times New Roman"/>
        </w:rPr>
        <w:t>亿元，同比增长4.6%。</w:t>
      </w:r>
      <w:r>
        <w:rPr>
          <w:rFonts w:hint="eastAsia" w:ascii="Times New Roman" w:hAnsi="Times New Roman" w:eastAsia="方正仿宋_GBK" w:cs="Times New Roman"/>
        </w:rPr>
        <w:t>从商品类别看，限额以上 18类主要商品零售中有 14 类实现增长，增长面77.8%。其中，烟酒类、体育娱乐用品类、日用品类、化妆品类、五金电料类、中西药品类等6类实现两位数增长。新兴消费保持快速增长，限额以上智能家用电器音像器材、可穿戴智能设备和智能手机同比分别增长14.1%、15.7%和13.1%；限额以上新能源汽车零售同比增长32.3%，拉动限额以上零售额增长2.8个百分点。网络消费拉动作用持续巩固，通过公共网络实现的商品零售额同比增长26.6%，占限额以上零售额的17.2%，对限额以上</w:t>
      </w:r>
      <w:r>
        <w:rPr>
          <w:rFonts w:ascii="Times New Roman" w:hAnsi="Times New Roman" w:eastAsia="方正仿宋_GBK" w:cs="Times New Roman"/>
        </w:rPr>
        <w:t>社会消费品零售</w:t>
      </w:r>
      <w:r>
        <w:rPr>
          <w:rFonts w:hint="eastAsia" w:ascii="Times New Roman" w:hAnsi="Times New Roman" w:eastAsia="方正仿宋_GBK" w:cs="Times New Roman"/>
        </w:rPr>
        <w:t>贡献创本年新高。</w:t>
      </w:r>
    </w:p>
    <w:p w14:paraId="5587F40A">
      <w:pPr>
        <w:adjustRightInd w:val="0"/>
        <w:spacing w:line="600" w:lineRule="exact"/>
        <w:ind w:firstLine="640" w:firstLineChars="200"/>
        <w:rPr>
          <w:rFonts w:ascii="Times New Roman" w:hAnsi="Times New Roman" w:eastAsia="方正黑体_GBK" w:cs="Times New Roman"/>
        </w:rPr>
      </w:pPr>
      <w:r>
        <w:rPr>
          <w:rFonts w:ascii="Times New Roman" w:hAnsi="Times New Roman" w:eastAsia="方正黑体_GBK" w:cs="Times New Roman"/>
        </w:rPr>
        <w:t>五、</w:t>
      </w:r>
      <w:r>
        <w:rPr>
          <w:rFonts w:hint="eastAsia" w:ascii="Times New Roman" w:hAnsi="Times New Roman" w:eastAsia="方正黑体_GBK" w:cs="Times New Roman"/>
        </w:rPr>
        <w:t>固定资产</w:t>
      </w:r>
      <w:r>
        <w:rPr>
          <w:rFonts w:ascii="Times New Roman" w:hAnsi="Times New Roman" w:eastAsia="方正黑体_GBK" w:cs="Times New Roman"/>
        </w:rPr>
        <w:t>投资</w:t>
      </w:r>
      <w:r>
        <w:rPr>
          <w:rFonts w:hint="eastAsia" w:ascii="Times New Roman" w:hAnsi="Times New Roman" w:eastAsia="方正黑体_GBK" w:cs="Times New Roman"/>
        </w:rPr>
        <w:t>规模持续扩大</w:t>
      </w:r>
      <w:r>
        <w:rPr>
          <w:rFonts w:ascii="Times New Roman" w:hAnsi="Times New Roman" w:eastAsia="方正黑体_GBK" w:cs="Times New Roman"/>
        </w:rPr>
        <w:t>，</w:t>
      </w:r>
      <w:r>
        <w:rPr>
          <w:rFonts w:hint="eastAsia" w:ascii="Times New Roman" w:hAnsi="Times New Roman" w:eastAsia="方正黑体_GBK" w:cs="Times New Roman"/>
        </w:rPr>
        <w:t>新兴产业投资引领增长</w:t>
      </w:r>
    </w:p>
    <w:p w14:paraId="5BAA00EB">
      <w:pPr>
        <w:adjustRightInd w:val="0"/>
        <w:spacing w:line="600" w:lineRule="exact"/>
        <w:ind w:firstLine="640" w:firstLineChars="200"/>
        <w:rPr>
          <w:rFonts w:ascii="Times New Roman" w:hAnsi="Times New Roman" w:eastAsia="方正仿宋_GBK" w:cs="Times New Roman"/>
        </w:rPr>
      </w:pPr>
      <w:r>
        <w:rPr>
          <w:rFonts w:hint="eastAsia" w:ascii="Times New Roman" w:hAnsi="Times New Roman" w:eastAsia="方正仿宋_GBK" w:cs="Times New Roman"/>
        </w:rPr>
        <w:t>前三季度，全市固定资产投资总额</w:t>
      </w:r>
      <w:r>
        <w:rPr>
          <w:rFonts w:ascii="Times New Roman" w:hAnsi="Times New Roman" w:eastAsia="方正仿宋_GBK" w:cs="Times New Roman"/>
        </w:rPr>
        <w:t>3649.38</w:t>
      </w:r>
      <w:r>
        <w:rPr>
          <w:rFonts w:hint="eastAsia" w:ascii="Times New Roman" w:hAnsi="Times New Roman" w:eastAsia="方正仿宋_GBK" w:cs="Times New Roman"/>
        </w:rPr>
        <w:t>亿元，同比增长</w:t>
      </w:r>
      <w:r>
        <w:rPr>
          <w:rFonts w:ascii="Times New Roman" w:hAnsi="Times New Roman" w:eastAsia="方正仿宋_GBK" w:cs="Times New Roman"/>
        </w:rPr>
        <w:t>6.8</w:t>
      </w:r>
      <w:r>
        <w:rPr>
          <w:rFonts w:hint="eastAsia" w:ascii="Times New Roman" w:hAnsi="Times New Roman" w:eastAsia="方正仿宋_GBK" w:cs="Times New Roman"/>
        </w:rPr>
        <w:t>%。其中，第二产业投资同比增长</w:t>
      </w:r>
      <w:r>
        <w:rPr>
          <w:rFonts w:ascii="Times New Roman" w:hAnsi="Times New Roman" w:eastAsia="方正仿宋_GBK" w:cs="Times New Roman"/>
        </w:rPr>
        <w:t>16.7</w:t>
      </w:r>
      <w:r>
        <w:rPr>
          <w:rFonts w:hint="eastAsia" w:ascii="Times New Roman" w:hAnsi="Times New Roman" w:eastAsia="方正仿宋_GBK" w:cs="Times New Roman"/>
        </w:rPr>
        <w:t>%。从项目看，亿元以上项目投资同比增长</w:t>
      </w:r>
      <w:r>
        <w:rPr>
          <w:rFonts w:ascii="Times New Roman" w:hAnsi="Times New Roman" w:eastAsia="方正仿宋_GBK" w:cs="Times New Roman"/>
        </w:rPr>
        <w:t>12</w:t>
      </w:r>
      <w:r>
        <w:rPr>
          <w:rFonts w:hint="eastAsia" w:ascii="Times New Roman" w:hAnsi="Times New Roman" w:eastAsia="方正仿宋_GBK" w:cs="Times New Roman"/>
        </w:rPr>
        <w:t>.</w:t>
      </w:r>
      <w:r>
        <w:rPr>
          <w:rFonts w:ascii="Times New Roman" w:hAnsi="Times New Roman" w:eastAsia="方正仿宋_GBK" w:cs="Times New Roman"/>
        </w:rPr>
        <w:t>8</w:t>
      </w:r>
      <w:r>
        <w:rPr>
          <w:rFonts w:hint="eastAsia" w:ascii="Times New Roman" w:hAnsi="Times New Roman" w:eastAsia="方正仿宋_GBK" w:cs="Times New Roman"/>
        </w:rPr>
        <w:t>%，其中，亿元以上产业项目投资同比增长1</w:t>
      </w:r>
      <w:r>
        <w:rPr>
          <w:rFonts w:ascii="Times New Roman" w:hAnsi="Times New Roman" w:eastAsia="方正仿宋_GBK" w:cs="Times New Roman"/>
        </w:rPr>
        <w:t>4.0</w:t>
      </w:r>
      <w:r>
        <w:rPr>
          <w:rFonts w:hint="eastAsia" w:ascii="Times New Roman" w:hAnsi="Times New Roman" w:eastAsia="方正仿宋_GBK" w:cs="Times New Roman"/>
        </w:rPr>
        <w:t>%。从行业看，工业投资同比增长1</w:t>
      </w:r>
      <w:r>
        <w:rPr>
          <w:rFonts w:ascii="Times New Roman" w:hAnsi="Times New Roman" w:eastAsia="方正仿宋_GBK" w:cs="Times New Roman"/>
        </w:rPr>
        <w:t>6</w:t>
      </w:r>
      <w:r>
        <w:rPr>
          <w:rFonts w:hint="eastAsia" w:ascii="Times New Roman" w:hAnsi="Times New Roman" w:eastAsia="方正仿宋_GBK" w:cs="Times New Roman"/>
        </w:rPr>
        <w:t>.</w:t>
      </w:r>
      <w:r>
        <w:rPr>
          <w:rFonts w:ascii="Times New Roman" w:hAnsi="Times New Roman" w:eastAsia="方正仿宋_GBK" w:cs="Times New Roman"/>
        </w:rPr>
        <w:t>6</w:t>
      </w:r>
      <w:r>
        <w:rPr>
          <w:rFonts w:hint="eastAsia" w:ascii="Times New Roman" w:hAnsi="Times New Roman" w:eastAsia="方正仿宋_GBK" w:cs="Times New Roman"/>
        </w:rPr>
        <w:t>%，基础设施投资同比增长</w:t>
      </w:r>
      <w:r>
        <w:rPr>
          <w:rFonts w:ascii="Times New Roman" w:hAnsi="Times New Roman" w:eastAsia="方正仿宋_GBK" w:cs="Times New Roman"/>
        </w:rPr>
        <w:t>25</w:t>
      </w:r>
      <w:r>
        <w:rPr>
          <w:rFonts w:hint="eastAsia" w:ascii="Times New Roman" w:hAnsi="Times New Roman" w:eastAsia="方正仿宋_GBK" w:cs="Times New Roman"/>
        </w:rPr>
        <w:t>.</w:t>
      </w:r>
      <w:r>
        <w:rPr>
          <w:rFonts w:ascii="Times New Roman" w:hAnsi="Times New Roman" w:eastAsia="方正仿宋_GBK" w:cs="Times New Roman"/>
        </w:rPr>
        <w:t>3</w:t>
      </w:r>
      <w:r>
        <w:rPr>
          <w:rFonts w:hint="eastAsia" w:ascii="Times New Roman" w:hAnsi="Times New Roman" w:eastAsia="方正仿宋_GBK" w:cs="Times New Roman"/>
        </w:rPr>
        <w:t>%，持续呈现两位数增长。从新兴产业看，高新技术产业投资同比增长</w:t>
      </w:r>
      <w:r>
        <w:rPr>
          <w:rFonts w:ascii="Times New Roman" w:hAnsi="Times New Roman" w:eastAsia="方正仿宋_GBK" w:cs="Times New Roman"/>
        </w:rPr>
        <w:t>15</w:t>
      </w:r>
      <w:r>
        <w:rPr>
          <w:rFonts w:hint="eastAsia" w:ascii="Times New Roman" w:hAnsi="Times New Roman" w:eastAsia="方正仿宋_GBK" w:cs="Times New Roman"/>
        </w:rPr>
        <w:t>.</w:t>
      </w:r>
      <w:r>
        <w:rPr>
          <w:rFonts w:ascii="Times New Roman" w:hAnsi="Times New Roman" w:eastAsia="方正仿宋_GBK" w:cs="Times New Roman"/>
        </w:rPr>
        <w:t>5</w:t>
      </w:r>
      <w:r>
        <w:rPr>
          <w:rFonts w:hint="eastAsia" w:ascii="Times New Roman" w:hAnsi="Times New Roman" w:eastAsia="方正仿宋_GBK" w:cs="Times New Roman"/>
        </w:rPr>
        <w:t>%，战略性新兴产业投资同比增长</w:t>
      </w:r>
      <w:r>
        <w:rPr>
          <w:rFonts w:ascii="Times New Roman" w:hAnsi="Times New Roman" w:eastAsia="方正仿宋_GBK" w:cs="Times New Roman"/>
        </w:rPr>
        <w:t>16</w:t>
      </w:r>
      <w:r>
        <w:rPr>
          <w:rFonts w:hint="eastAsia" w:ascii="Times New Roman" w:hAnsi="Times New Roman" w:eastAsia="方正仿宋_GBK" w:cs="Times New Roman"/>
        </w:rPr>
        <w:t>.</w:t>
      </w:r>
      <w:r>
        <w:rPr>
          <w:rFonts w:ascii="Times New Roman" w:hAnsi="Times New Roman" w:eastAsia="方正仿宋_GBK" w:cs="Times New Roman"/>
        </w:rPr>
        <w:t>3</w:t>
      </w:r>
      <w:r>
        <w:rPr>
          <w:rFonts w:hint="eastAsia" w:ascii="Times New Roman" w:hAnsi="Times New Roman" w:eastAsia="方正仿宋_GBK" w:cs="Times New Roman"/>
        </w:rPr>
        <w:t>%，分别高于全部投资增速</w:t>
      </w:r>
      <w:r>
        <w:rPr>
          <w:rFonts w:ascii="Times New Roman" w:hAnsi="Times New Roman" w:eastAsia="方正仿宋_GBK" w:cs="Times New Roman"/>
        </w:rPr>
        <w:t>8</w:t>
      </w:r>
      <w:r>
        <w:rPr>
          <w:rFonts w:hint="eastAsia" w:ascii="Times New Roman" w:hAnsi="Times New Roman" w:eastAsia="方正仿宋_GBK" w:cs="Times New Roman"/>
        </w:rPr>
        <w:t>.7、9</w:t>
      </w:r>
      <w:r>
        <w:rPr>
          <w:rFonts w:ascii="Times New Roman" w:hAnsi="Times New Roman" w:eastAsia="方正仿宋_GBK" w:cs="Times New Roman"/>
        </w:rPr>
        <w:t>.5</w:t>
      </w:r>
      <w:r>
        <w:rPr>
          <w:rFonts w:hint="eastAsia" w:ascii="Times New Roman" w:hAnsi="Times New Roman" w:eastAsia="方正仿宋_GBK" w:cs="Times New Roman"/>
        </w:rPr>
        <w:t>个百分点。</w:t>
      </w:r>
    </w:p>
    <w:p w14:paraId="23F216AF">
      <w:pPr>
        <w:adjustRightInd w:val="0"/>
        <w:spacing w:line="600" w:lineRule="exact"/>
        <w:ind w:firstLine="640" w:firstLineChars="200"/>
        <w:rPr>
          <w:rFonts w:ascii="Times New Roman" w:hAnsi="Times New Roman" w:eastAsia="方正黑体_GBK" w:cs="Times New Roman"/>
        </w:rPr>
      </w:pPr>
      <w:r>
        <w:rPr>
          <w:rFonts w:ascii="Times New Roman" w:hAnsi="Times New Roman" w:eastAsia="方正黑体_GBK" w:cs="Times New Roman"/>
        </w:rPr>
        <w:t>六、</w:t>
      </w:r>
      <w:r>
        <w:rPr>
          <w:rFonts w:hint="eastAsia" w:ascii="Times New Roman" w:hAnsi="Times New Roman" w:eastAsia="方正黑体_GBK" w:cs="Times New Roman"/>
        </w:rPr>
        <w:t>外贸规模迭创新高</w:t>
      </w:r>
      <w:r>
        <w:rPr>
          <w:rFonts w:ascii="Times New Roman" w:hAnsi="Times New Roman" w:eastAsia="方正黑体_GBK" w:cs="Times New Roman"/>
        </w:rPr>
        <w:t>，</w:t>
      </w:r>
      <w:r>
        <w:rPr>
          <w:rFonts w:hint="eastAsia" w:ascii="Times New Roman" w:hAnsi="Times New Roman" w:eastAsia="方正黑体_GBK" w:cs="Times New Roman"/>
        </w:rPr>
        <w:t>贸易结构持续优化</w:t>
      </w:r>
    </w:p>
    <w:p w14:paraId="195CECDA">
      <w:pPr>
        <w:adjustRightInd w:val="0"/>
        <w:spacing w:line="600" w:lineRule="exact"/>
        <w:ind w:firstLine="640" w:firstLineChars="200"/>
        <w:rPr>
          <w:rFonts w:ascii="Times New Roman" w:hAnsi="Times New Roman" w:eastAsia="方正仿宋_GBK" w:cs="Times New Roman"/>
        </w:rPr>
      </w:pPr>
      <w:r>
        <w:rPr>
          <w:rFonts w:ascii="Times New Roman" w:hAnsi="Times New Roman" w:eastAsia="方正仿宋_GBK" w:cs="Times New Roman"/>
        </w:rPr>
        <w:t>前三季度，全市进出口总值</w:t>
      </w:r>
      <w:r>
        <w:rPr>
          <w:rFonts w:hint="eastAsia" w:ascii="Times New Roman" w:hAnsi="Times New Roman" w:eastAsia="方正仿宋_GBK" w:cs="Times New Roman"/>
        </w:rPr>
        <w:t>5654.</w:t>
      </w:r>
      <w:r>
        <w:rPr>
          <w:rFonts w:ascii="Times New Roman" w:hAnsi="Times New Roman" w:eastAsia="方正仿宋_GBK" w:cs="Times New Roman"/>
        </w:rPr>
        <w:t>08亿元，同比增长9.6%。其中，出口</w:t>
      </w:r>
      <w:r>
        <w:rPr>
          <w:rFonts w:hint="eastAsia" w:ascii="Times New Roman" w:hAnsi="Times New Roman" w:eastAsia="方正仿宋_GBK" w:cs="Times New Roman"/>
        </w:rPr>
        <w:t>总值</w:t>
      </w:r>
      <w:r>
        <w:rPr>
          <w:rFonts w:ascii="Times New Roman" w:hAnsi="Times New Roman" w:eastAsia="方正仿宋_GBK" w:cs="Times New Roman"/>
        </w:rPr>
        <w:t>3656.8</w:t>
      </w:r>
      <w:r>
        <w:rPr>
          <w:rFonts w:hint="eastAsia" w:ascii="Times New Roman" w:hAnsi="Times New Roman" w:eastAsia="方正仿宋_GBK" w:cs="Times New Roman"/>
        </w:rPr>
        <w:t>6</w:t>
      </w:r>
      <w:r>
        <w:rPr>
          <w:rFonts w:ascii="Times New Roman" w:hAnsi="Times New Roman" w:eastAsia="方正仿宋_GBK" w:cs="Times New Roman"/>
        </w:rPr>
        <w:t>亿元，同比增长7</w:t>
      </w:r>
      <w:r>
        <w:rPr>
          <w:rFonts w:hint="eastAsia" w:ascii="Times New Roman" w:hAnsi="Times New Roman" w:eastAsia="方正仿宋_GBK" w:cs="Times New Roman"/>
        </w:rPr>
        <w:t>.</w:t>
      </w:r>
      <w:r>
        <w:rPr>
          <w:rFonts w:ascii="Times New Roman" w:hAnsi="Times New Roman" w:eastAsia="方正仿宋_GBK" w:cs="Times New Roman"/>
        </w:rPr>
        <w:t>0%；进口</w:t>
      </w:r>
      <w:r>
        <w:rPr>
          <w:rFonts w:hint="eastAsia" w:ascii="Times New Roman" w:hAnsi="Times New Roman" w:eastAsia="方正仿宋_GBK" w:cs="Times New Roman"/>
        </w:rPr>
        <w:t>总值</w:t>
      </w:r>
      <w:r>
        <w:rPr>
          <w:rFonts w:ascii="Times New Roman" w:hAnsi="Times New Roman" w:eastAsia="方正仿宋_GBK" w:cs="Times New Roman"/>
        </w:rPr>
        <w:t>1997.22亿元，同比增长14</w:t>
      </w:r>
      <w:r>
        <w:rPr>
          <w:rFonts w:hint="eastAsia" w:ascii="Times New Roman" w:hAnsi="Times New Roman" w:eastAsia="方正仿宋_GBK" w:cs="Times New Roman"/>
        </w:rPr>
        <w:t>.</w:t>
      </w:r>
      <w:r>
        <w:rPr>
          <w:rFonts w:ascii="Times New Roman" w:hAnsi="Times New Roman" w:eastAsia="方正仿宋_GBK" w:cs="Times New Roman"/>
        </w:rPr>
        <w:t>6%。</w:t>
      </w:r>
      <w:r>
        <w:rPr>
          <w:rFonts w:hint="eastAsia" w:ascii="Times New Roman" w:hAnsi="Times New Roman" w:eastAsia="方正仿宋_GBK" w:cs="Times New Roman"/>
        </w:rPr>
        <w:t>从结构看，</w:t>
      </w:r>
      <w:r>
        <w:rPr>
          <w:rFonts w:ascii="Times New Roman" w:hAnsi="Times New Roman" w:eastAsia="方正仿宋_GBK" w:cs="Times New Roman"/>
        </w:rPr>
        <w:t>一般贸易进出口3270.29亿元，同比增长7</w:t>
      </w:r>
      <w:r>
        <w:rPr>
          <w:rFonts w:hint="eastAsia" w:ascii="Times New Roman" w:hAnsi="Times New Roman" w:eastAsia="方正仿宋_GBK" w:cs="Times New Roman"/>
        </w:rPr>
        <w:t>.</w:t>
      </w:r>
      <w:r>
        <w:rPr>
          <w:rFonts w:ascii="Times New Roman" w:hAnsi="Times New Roman" w:eastAsia="方正仿宋_GBK" w:cs="Times New Roman"/>
        </w:rPr>
        <w:t>2%</w:t>
      </w:r>
      <w:r>
        <w:rPr>
          <w:rFonts w:hint="eastAsia" w:ascii="Times New Roman" w:hAnsi="Times New Roman" w:eastAsia="方正仿宋_GBK" w:cs="Times New Roman"/>
        </w:rPr>
        <w:t>，</w:t>
      </w:r>
      <w:r>
        <w:rPr>
          <w:rFonts w:ascii="Times New Roman" w:hAnsi="Times New Roman" w:eastAsia="方正仿宋_GBK" w:cs="Times New Roman"/>
        </w:rPr>
        <w:t>占进出口总值的57</w:t>
      </w:r>
      <w:r>
        <w:rPr>
          <w:rFonts w:hint="eastAsia" w:ascii="Times New Roman" w:hAnsi="Times New Roman" w:eastAsia="方正仿宋_GBK" w:cs="Times New Roman"/>
        </w:rPr>
        <w:t>.</w:t>
      </w:r>
      <w:r>
        <w:rPr>
          <w:rFonts w:ascii="Times New Roman" w:hAnsi="Times New Roman" w:eastAsia="方正仿宋_GBK" w:cs="Times New Roman"/>
        </w:rPr>
        <w:t>8%</w:t>
      </w:r>
      <w:r>
        <w:rPr>
          <w:rFonts w:hint="eastAsia" w:ascii="Times New Roman" w:hAnsi="Times New Roman" w:eastAsia="方正仿宋_GBK" w:cs="Times New Roman"/>
        </w:rPr>
        <w:t>；加工贸易进出口</w:t>
      </w:r>
      <w:r>
        <w:rPr>
          <w:rFonts w:ascii="Times New Roman" w:hAnsi="Times New Roman" w:eastAsia="方正仿宋_GBK" w:cs="Times New Roman"/>
        </w:rPr>
        <w:t>1962.75</w:t>
      </w:r>
      <w:r>
        <w:rPr>
          <w:rFonts w:hint="eastAsia" w:ascii="Times New Roman" w:hAnsi="Times New Roman" w:eastAsia="方正仿宋_GBK" w:cs="Times New Roman"/>
        </w:rPr>
        <w:t>亿元，同比增长1</w:t>
      </w:r>
      <w:r>
        <w:rPr>
          <w:rFonts w:ascii="Times New Roman" w:hAnsi="Times New Roman" w:eastAsia="方正仿宋_GBK" w:cs="Times New Roman"/>
        </w:rPr>
        <w:t>0</w:t>
      </w:r>
      <w:r>
        <w:rPr>
          <w:rFonts w:hint="eastAsia" w:ascii="Times New Roman" w:hAnsi="Times New Roman" w:eastAsia="方正仿宋_GBK" w:cs="Times New Roman"/>
        </w:rPr>
        <w:t>.</w:t>
      </w:r>
      <w:r>
        <w:rPr>
          <w:rFonts w:ascii="Times New Roman" w:hAnsi="Times New Roman" w:eastAsia="方正仿宋_GBK" w:cs="Times New Roman"/>
        </w:rPr>
        <w:t>9</w:t>
      </w:r>
      <w:r>
        <w:rPr>
          <w:rFonts w:hint="eastAsia" w:ascii="Times New Roman" w:hAnsi="Times New Roman" w:eastAsia="方正仿宋_GBK" w:cs="Times New Roman"/>
        </w:rPr>
        <w:t>%</w:t>
      </w:r>
      <w:r>
        <w:rPr>
          <w:rFonts w:ascii="Times New Roman" w:hAnsi="Times New Roman" w:eastAsia="方正仿宋_GBK" w:cs="Times New Roman"/>
        </w:rPr>
        <w:t>。</w:t>
      </w:r>
      <w:r>
        <w:rPr>
          <w:rFonts w:hint="eastAsia" w:ascii="Times New Roman" w:hAnsi="Times New Roman" w:eastAsia="方正仿宋_GBK" w:cs="Times New Roman"/>
        </w:rPr>
        <w:t>从经营主体看，外商投资企业进出口313</w:t>
      </w:r>
      <w:r>
        <w:rPr>
          <w:rFonts w:ascii="Times New Roman" w:hAnsi="Times New Roman" w:eastAsia="方正仿宋_GBK" w:cs="Times New Roman"/>
        </w:rPr>
        <w:t>1</w:t>
      </w:r>
      <w:r>
        <w:rPr>
          <w:rFonts w:hint="eastAsia" w:ascii="Times New Roman" w:hAnsi="Times New Roman" w:eastAsia="方正仿宋_GBK" w:cs="Times New Roman"/>
        </w:rPr>
        <w:t>.</w:t>
      </w:r>
      <w:r>
        <w:rPr>
          <w:rFonts w:ascii="Times New Roman" w:hAnsi="Times New Roman" w:eastAsia="方正仿宋_GBK" w:cs="Times New Roman"/>
        </w:rPr>
        <w:t>99</w:t>
      </w:r>
      <w:r>
        <w:rPr>
          <w:rFonts w:hint="eastAsia" w:ascii="Times New Roman" w:hAnsi="Times New Roman" w:eastAsia="方正仿宋_GBK" w:cs="Times New Roman"/>
        </w:rPr>
        <w:t>亿元，同比增长8.5%；民营企业进出口2198.</w:t>
      </w:r>
      <w:r>
        <w:rPr>
          <w:rFonts w:ascii="Times New Roman" w:hAnsi="Times New Roman" w:eastAsia="方正仿宋_GBK" w:cs="Times New Roman"/>
        </w:rPr>
        <w:t>19</w:t>
      </w:r>
      <w:r>
        <w:rPr>
          <w:rFonts w:hint="eastAsia" w:ascii="Times New Roman" w:hAnsi="Times New Roman" w:eastAsia="方正仿宋_GBK" w:cs="Times New Roman"/>
        </w:rPr>
        <w:t>亿元，同比增长7.5%。</w:t>
      </w:r>
    </w:p>
    <w:p w14:paraId="1CF7204B">
      <w:pPr>
        <w:adjustRightInd w:val="0"/>
        <w:spacing w:line="600" w:lineRule="exact"/>
        <w:ind w:firstLine="640" w:firstLineChars="200"/>
        <w:rPr>
          <w:rFonts w:ascii="Times New Roman" w:hAnsi="Times New Roman" w:eastAsia="方正黑体_GBK" w:cs="Times New Roman"/>
        </w:rPr>
      </w:pPr>
      <w:r>
        <w:rPr>
          <w:rFonts w:ascii="Times New Roman" w:hAnsi="Times New Roman" w:eastAsia="方正黑体_GBK" w:cs="Times New Roman"/>
        </w:rPr>
        <w:t>七、金融市场</w:t>
      </w:r>
      <w:r>
        <w:rPr>
          <w:rFonts w:hint="eastAsia" w:ascii="Times New Roman" w:hAnsi="Times New Roman" w:eastAsia="方正黑体_GBK" w:cs="Times New Roman"/>
        </w:rPr>
        <w:t>稳健</w:t>
      </w:r>
      <w:r>
        <w:rPr>
          <w:rFonts w:ascii="Times New Roman" w:hAnsi="Times New Roman" w:eastAsia="方正黑体_GBK" w:cs="Times New Roman"/>
        </w:rPr>
        <w:t>运行，</w:t>
      </w:r>
      <w:r>
        <w:rPr>
          <w:rFonts w:hint="eastAsia" w:ascii="Times New Roman" w:hAnsi="Times New Roman" w:eastAsia="方正黑体_GBK" w:cs="Times New Roman"/>
        </w:rPr>
        <w:t>存贷规模稳步扩大</w:t>
      </w:r>
    </w:p>
    <w:p w14:paraId="4F9EA075">
      <w:pPr>
        <w:adjustRightInd w:val="0"/>
        <w:spacing w:line="600" w:lineRule="exact"/>
        <w:ind w:firstLine="640" w:firstLineChars="200"/>
        <w:rPr>
          <w:rFonts w:ascii="Times New Roman" w:hAnsi="Times New Roman" w:eastAsia="方正仿宋_GBK" w:cs="Times New Roman"/>
        </w:rPr>
      </w:pPr>
      <w:r>
        <w:rPr>
          <w:rFonts w:hint="eastAsia" w:ascii="Times New Roman" w:hAnsi="Times New Roman" w:eastAsia="方正仿宋_GBK" w:cs="Times New Roman"/>
        </w:rPr>
        <w:t>截至9月末，全市金融机构本外币存款余额28477.19亿元，比年初增加1240.01亿元，同比增长5.3%。金融机构本外币贷款余额24956.99亿元，比年初增加2375.31亿元，同比增长12.8%，其中，非金融企业及机关团体贷款余额19056.49亿元，同比增长17.4%。从行业看，制造业贷款余额同比增长5.5%，批发和零售业贷款余额同比增长20.0%。</w:t>
      </w:r>
    </w:p>
    <w:p w14:paraId="137E7FB9">
      <w:pPr>
        <w:adjustRightInd w:val="0"/>
        <w:spacing w:line="600" w:lineRule="exact"/>
        <w:ind w:firstLine="640" w:firstLineChars="200"/>
        <w:rPr>
          <w:rFonts w:ascii="Times New Roman" w:hAnsi="Times New Roman" w:eastAsia="方正黑体_GBK" w:cs="Times New Roman"/>
        </w:rPr>
      </w:pPr>
      <w:r>
        <w:rPr>
          <w:rFonts w:ascii="Times New Roman" w:hAnsi="Times New Roman" w:eastAsia="方正黑体_GBK" w:cs="Times New Roman"/>
        </w:rPr>
        <w:t>八、</w:t>
      </w:r>
      <w:r>
        <w:rPr>
          <w:rFonts w:hint="eastAsia" w:ascii="Times New Roman" w:hAnsi="Times New Roman" w:eastAsia="方正黑体_GBK" w:cs="Times New Roman"/>
        </w:rPr>
        <w:t>物价水平总体平稳</w:t>
      </w:r>
      <w:r>
        <w:rPr>
          <w:rFonts w:ascii="Times New Roman" w:hAnsi="Times New Roman" w:eastAsia="方正黑体_GBK" w:cs="Times New Roman"/>
        </w:rPr>
        <w:t>，居民收入稳步</w:t>
      </w:r>
      <w:r>
        <w:rPr>
          <w:rFonts w:hint="eastAsia" w:ascii="Times New Roman" w:hAnsi="Times New Roman" w:eastAsia="方正黑体_GBK" w:cs="Times New Roman"/>
        </w:rPr>
        <w:t>提升</w:t>
      </w:r>
    </w:p>
    <w:p w14:paraId="1A6B3984">
      <w:pPr>
        <w:adjustRightInd w:val="0"/>
        <w:spacing w:line="600" w:lineRule="exact"/>
        <w:ind w:firstLine="640" w:firstLineChars="200"/>
        <w:rPr>
          <w:rFonts w:ascii="Times New Roman" w:hAnsi="Times New Roman" w:eastAsia="方正仿宋_GBK" w:cs="Times New Roman"/>
        </w:rPr>
      </w:pPr>
      <w:r>
        <w:rPr>
          <w:rFonts w:hint="eastAsia" w:ascii="Times New Roman" w:hAnsi="Times New Roman" w:eastAsia="方正仿宋_GBK" w:cs="Times New Roman"/>
        </w:rPr>
        <w:t>前三季度，全市居民消费价格同比上涨0.</w:t>
      </w:r>
      <w:r>
        <w:rPr>
          <w:rFonts w:ascii="Times New Roman" w:hAnsi="Times New Roman" w:eastAsia="方正仿宋_GBK" w:cs="Times New Roman"/>
        </w:rPr>
        <w:t>5</w:t>
      </w:r>
      <w:r>
        <w:rPr>
          <w:rFonts w:hint="eastAsia" w:ascii="Times New Roman" w:hAnsi="Times New Roman" w:eastAsia="方正仿宋_GBK" w:cs="Times New Roman"/>
        </w:rPr>
        <w:t>%。其中，9月份，全市居民消费价格同比上涨0.5%，涨幅比上月回落0.8个百分点。前三季度，全市全体居民人均可支配收入为</w:t>
      </w:r>
      <w:r>
        <w:rPr>
          <w:rFonts w:ascii="Times New Roman" w:hAnsi="Times New Roman" w:eastAsia="方正仿宋_GBK" w:cs="Times New Roman"/>
        </w:rPr>
        <w:t>55219</w:t>
      </w:r>
      <w:r>
        <w:rPr>
          <w:rFonts w:hint="eastAsia" w:ascii="Times New Roman" w:hAnsi="Times New Roman" w:eastAsia="方正仿宋_GBK" w:cs="Times New Roman"/>
        </w:rPr>
        <w:t>元，同比增长4.</w:t>
      </w:r>
      <w:r>
        <w:rPr>
          <w:rFonts w:ascii="Times New Roman" w:hAnsi="Times New Roman" w:eastAsia="方正仿宋_GBK" w:cs="Times New Roman"/>
        </w:rPr>
        <w:t>5</w:t>
      </w:r>
      <w:r>
        <w:rPr>
          <w:rFonts w:hint="eastAsia" w:ascii="Times New Roman" w:hAnsi="Times New Roman" w:eastAsia="方正仿宋_GBK" w:cs="Times New Roman"/>
        </w:rPr>
        <w:t>%。其中，城镇常住居民人均可支配收入为</w:t>
      </w:r>
      <w:r>
        <w:rPr>
          <w:rFonts w:ascii="Times New Roman" w:hAnsi="Times New Roman" w:eastAsia="方正仿宋_GBK" w:cs="Times New Roman"/>
        </w:rPr>
        <w:t>61527</w:t>
      </w:r>
      <w:r>
        <w:rPr>
          <w:rFonts w:hint="eastAsia" w:ascii="Times New Roman" w:hAnsi="Times New Roman" w:eastAsia="方正仿宋_GBK" w:cs="Times New Roman"/>
        </w:rPr>
        <w:t>元，同比增长4.</w:t>
      </w:r>
      <w:r>
        <w:rPr>
          <w:rFonts w:ascii="Times New Roman" w:hAnsi="Times New Roman" w:eastAsia="方正仿宋_GBK" w:cs="Times New Roman"/>
        </w:rPr>
        <w:t>2</w:t>
      </w:r>
      <w:r>
        <w:rPr>
          <w:rFonts w:hint="eastAsia" w:ascii="Times New Roman" w:hAnsi="Times New Roman" w:eastAsia="方正仿宋_GBK" w:cs="Times New Roman"/>
        </w:rPr>
        <w:t>%；农村常住居民人均可支配收入为</w:t>
      </w:r>
      <w:r>
        <w:rPr>
          <w:rFonts w:ascii="Times New Roman" w:hAnsi="Times New Roman" w:eastAsia="方正仿宋_GBK" w:cs="Times New Roman"/>
        </w:rPr>
        <w:t>35041</w:t>
      </w:r>
      <w:r>
        <w:rPr>
          <w:rFonts w:hint="eastAsia" w:ascii="Times New Roman" w:hAnsi="Times New Roman" w:eastAsia="方正仿宋_GBK" w:cs="Times New Roman"/>
        </w:rPr>
        <w:t>元，同比增长5.4%，高于城镇收入增幅1.</w:t>
      </w:r>
      <w:r>
        <w:rPr>
          <w:rFonts w:ascii="Times New Roman" w:hAnsi="Times New Roman" w:eastAsia="方正仿宋_GBK" w:cs="Times New Roman"/>
        </w:rPr>
        <w:t>2</w:t>
      </w:r>
      <w:r>
        <w:rPr>
          <w:rFonts w:hint="eastAsia" w:ascii="Times New Roman" w:hAnsi="Times New Roman" w:eastAsia="方正仿宋_GBK" w:cs="Times New Roman"/>
        </w:rPr>
        <w:t>个百分点。城乡居民收入比为1.7</w:t>
      </w:r>
      <w:r>
        <w:rPr>
          <w:rFonts w:ascii="Times New Roman" w:hAnsi="Times New Roman" w:eastAsia="方正仿宋_GBK" w:cs="Times New Roman"/>
        </w:rPr>
        <w:t>6</w:t>
      </w:r>
      <w:r>
        <w:rPr>
          <w:rFonts w:hint="eastAsia" w:ascii="Times New Roman" w:hAnsi="Times New Roman" w:eastAsia="方正仿宋_GBK" w:cs="Times New Roman"/>
        </w:rPr>
        <w:t>，较上年同期缩小0.02，城乡收入差距持续缩小。</w:t>
      </w:r>
    </w:p>
    <w:sectPr>
      <w:footerReference r:id="rId3" w:type="default"/>
      <w:pgSz w:w="11906" w:h="16838"/>
      <w:pgMar w:top="2098" w:right="1474" w:bottom="1985" w:left="1588" w:header="851" w:footer="992" w:gutter="0"/>
      <w:cols w:space="425" w:num="1"/>
      <w:docGrid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华文新魏">
    <w:panose1 w:val="02010800040101010101"/>
    <w:charset w:val="86"/>
    <w:family w:val="auto"/>
    <w:pitch w:val="default"/>
    <w:sig w:usb0="00000001" w:usb1="080F0000" w:usb2="00000000" w:usb3="00000000" w:csb0="00040000" w:csb1="00000000"/>
  </w:font>
  <w:font w:name="金山云技术体">
    <w:panose1 w:val="00000000000000000000"/>
    <w:charset w:val="86"/>
    <w:family w:val="auto"/>
    <w:pitch w:val="default"/>
    <w:sig w:usb0="00000003" w:usb1="08010000" w:usb2="00000000" w:usb3="00000000" w:csb0="00040001" w:csb1="00000000"/>
  </w:font>
  <w:font w:name="华文中宋">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14406B">
    <w:pPr>
      <w:pStyle w:val="3"/>
      <w:jc w:val="center"/>
      <w:rPr>
        <w:rFonts w:ascii="Times New Roman" w:hAnsi="Times New Roman" w:cs="Times New Roman"/>
      </w:rPr>
    </w:pPr>
    <w:r>
      <w:rPr>
        <w:rFonts w:ascii="Times New Roman" w:hAnsi="Times New Roman" w:cs="Times New Roman"/>
        <w:sz w:val="28"/>
      </w:rPr>
      <w:t>－</w:t>
    </w:r>
    <w:r>
      <w:rPr>
        <w:rFonts w:hint="eastAsia" w:ascii="Times New Roman" w:hAnsi="Times New Roman" w:cs="Times New Roman"/>
        <w:sz w:val="28"/>
      </w:rPr>
      <w:t xml:space="preserve"> </w:t>
    </w:r>
    <w:r>
      <w:rPr>
        <w:rFonts w:ascii="Times New Roman" w:hAnsi="Times New Roman" w:cs="Times New Roman"/>
        <w:sz w:val="28"/>
      </w:rPr>
      <w:fldChar w:fldCharType="begin"/>
    </w:r>
    <w:r>
      <w:rPr>
        <w:rFonts w:ascii="Times New Roman" w:hAnsi="Times New Roman" w:cs="Times New Roman"/>
        <w:sz w:val="28"/>
      </w:rPr>
      <w:instrText xml:space="preserve">PAGE   \* MERGEFORMAT</w:instrText>
    </w:r>
    <w:r>
      <w:rPr>
        <w:rFonts w:ascii="Times New Roman" w:hAnsi="Times New Roman" w:cs="Times New Roman"/>
        <w:sz w:val="28"/>
      </w:rPr>
      <w:fldChar w:fldCharType="separate"/>
    </w:r>
    <w:r>
      <w:rPr>
        <w:rFonts w:ascii="Times New Roman" w:hAnsi="Times New Roman" w:cs="Times New Roman"/>
        <w:sz w:val="28"/>
        <w:lang w:val="zh-CN"/>
      </w:rPr>
      <w:t>6</w:t>
    </w:r>
    <w:r>
      <w:rPr>
        <w:rFonts w:ascii="Times New Roman" w:hAnsi="Times New Roman" w:cs="Times New Roman"/>
        <w:sz w:val="28"/>
      </w:rPr>
      <w:fldChar w:fldCharType="end"/>
    </w:r>
    <w:r>
      <w:rPr>
        <w:rFonts w:ascii="Times New Roman" w:hAnsi="Times New Roman" w:cs="Times New Roman"/>
        <w:sz w:val="2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E5NzBmMGQ3YWRkYzdhM2IwMThhOWE5ZjBhM2Y2ZjYifQ=="/>
  </w:docVars>
  <w:rsids>
    <w:rsidRoot w:val="004D1FF1"/>
    <w:rsid w:val="000A5E7F"/>
    <w:rsid w:val="00193C6D"/>
    <w:rsid w:val="001B4174"/>
    <w:rsid w:val="004749BB"/>
    <w:rsid w:val="004D1FF1"/>
    <w:rsid w:val="006F364F"/>
    <w:rsid w:val="008D5410"/>
    <w:rsid w:val="009570F4"/>
    <w:rsid w:val="00980006"/>
    <w:rsid w:val="00AA460B"/>
    <w:rsid w:val="00AF7958"/>
    <w:rsid w:val="00BE2419"/>
    <w:rsid w:val="00C35F63"/>
    <w:rsid w:val="00CB46A2"/>
    <w:rsid w:val="00DF6029"/>
    <w:rsid w:val="00F42FC9"/>
    <w:rsid w:val="32ED4C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32"/>
      <w:szCs w:val="3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7"/>
    <w:qFormat/>
    <w:uiPriority w:val="0"/>
    <w:pPr>
      <w:ind w:firstLine="630" w:firstLineChars="200"/>
      <w:jc w:val="left"/>
    </w:pPr>
    <w:rPr>
      <w:rFonts w:ascii="Times New Roman" w:hAnsi="Times New Roman" w:cs="Times New Roman"/>
      <w:szCs w:val="24"/>
    </w:rPr>
  </w:style>
  <w:style w:type="paragraph" w:styleId="3">
    <w:name w:val="footer"/>
    <w:basedOn w:val="1"/>
    <w:link w:val="8"/>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正文文本缩进 字符"/>
    <w:basedOn w:val="6"/>
    <w:link w:val="2"/>
    <w:qFormat/>
    <w:uiPriority w:val="0"/>
    <w:rPr>
      <w:rFonts w:ascii="Times New Roman" w:hAnsi="Times New Roman" w:eastAsia="宋体" w:cs="Times New Roman"/>
      <w:sz w:val="32"/>
      <w:szCs w:val="24"/>
    </w:rPr>
  </w:style>
  <w:style w:type="character" w:customStyle="1" w:styleId="8">
    <w:name w:val="页脚 字符"/>
    <w:basedOn w:val="6"/>
    <w:link w:val="3"/>
    <w:qFormat/>
    <w:uiPriority w:val="99"/>
    <w:rPr>
      <w:rFonts w:ascii="Calibri" w:hAnsi="Calibri" w:eastAsia="宋体" w:cs="Calibri"/>
      <w:sz w:val="18"/>
      <w:szCs w:val="18"/>
    </w:rPr>
  </w:style>
  <w:style w:type="character" w:customStyle="1" w:styleId="9">
    <w:name w:val="页眉 字符"/>
    <w:basedOn w:val="6"/>
    <w:link w:val="4"/>
    <w:qFormat/>
    <w:uiPriority w:val="99"/>
    <w:rPr>
      <w:rFonts w:ascii="Calibri" w:hAnsi="Calibri" w:eastAsia="宋体" w:cs="Calibri"/>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2575</Words>
  <Characters>2984</Characters>
  <Lines>21</Lines>
  <Paragraphs>6</Paragraphs>
  <TotalTime>42</TotalTime>
  <ScaleCrop>false</ScaleCrop>
  <LinksUpToDate>false</LinksUpToDate>
  <CharactersWithSpaces>2992</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2024-10-22T01:32:00Z</dcterms:created>
  <dc:creator>孙艳</dc:creator>
  <cp:lastModifiedBy>若有其事</cp:lastModifiedBy>
  <dcterms:modified xsi:type="dcterms:W3CDTF">2024-10-24T09:33:06Z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A331EA0452024ABDAAEFAF1A3808E98D_12</vt:lpwstr>
  </property>
</Properties>
</file>