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35F58">
      <w:pPr>
        <w:jc w:val="center"/>
        <w:rPr>
          <w:rFonts w:ascii="Times New Roman" w:hAnsi="Times New Roman" w:eastAsia="方正小标宋_GBK" w:cs="Times New Roman"/>
          <w:sz w:val="44"/>
        </w:rPr>
      </w:pPr>
      <w:r>
        <w:rPr>
          <w:rFonts w:ascii="Times New Roman" w:hAnsi="Times New Roman" w:eastAsia="方正小标宋_GBK" w:cs="Times New Roman"/>
          <w:sz w:val="44"/>
        </w:rPr>
        <w:t>2025年全市经济运行情况通报</w:t>
      </w:r>
    </w:p>
    <w:p w14:paraId="7F2074E7">
      <w:pPr>
        <w:spacing w:line="600" w:lineRule="exact"/>
        <w:jc w:val="center"/>
        <w:rPr>
          <w:rFonts w:ascii="Times New Roman" w:hAnsi="Times New Roman" w:eastAsia="方正楷体_GBK" w:cs="Times New Roman"/>
        </w:rPr>
      </w:pPr>
      <w:r>
        <w:rPr>
          <w:rFonts w:ascii="Times New Roman" w:hAnsi="Times New Roman" w:eastAsia="方正楷体_GBK" w:cs="Times New Roman"/>
        </w:rPr>
        <w:t>2026年1月2</w:t>
      </w:r>
      <w:r>
        <w:rPr>
          <w:rFonts w:hint="eastAsia" w:ascii="Times New Roman" w:hAnsi="Times New Roman" w:eastAsia="方正楷体_GBK" w:cs="Times New Roman"/>
        </w:rPr>
        <w:t>9</w:t>
      </w:r>
      <w:r>
        <w:rPr>
          <w:rFonts w:ascii="Times New Roman" w:hAnsi="Times New Roman" w:eastAsia="方正楷体_GBK" w:cs="Times New Roman"/>
        </w:rPr>
        <w:t>日</w:t>
      </w:r>
    </w:p>
    <w:p w14:paraId="076B2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2025年，面对国内外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宏观</w:t>
      </w:r>
      <w:r>
        <w:rPr>
          <w:rFonts w:ascii="Times New Roman" w:hAnsi="Times New Roman" w:eastAsia="方正仿宋_GBK" w:cs="Times New Roman"/>
          <w:sz w:val="24"/>
          <w:szCs w:val="24"/>
        </w:rPr>
        <w:t>环境复杂多变的严峻形势，全市上下深入贯彻落实市委、市政府决策部署，坚持稳中求进工作总基调，全力以赴抓产业、扩投资、促消费，多措并举激发经济内生动能。全市经济运行总体平稳、稳中有进，高质量发展迈出坚实步伐。</w:t>
      </w:r>
    </w:p>
    <w:p w14:paraId="6A83F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根据地区生产总值统一核算结果，2025年，全市实现地区生产总值16773.94亿元，按</w:t>
      </w:r>
      <w:bookmarkStart w:id="1" w:name="_GoBack"/>
      <w:bookmarkEnd w:id="1"/>
      <w:r>
        <w:rPr>
          <w:rFonts w:ascii="Times New Roman" w:hAnsi="Times New Roman" w:eastAsia="方正仿宋_GBK" w:cs="Times New Roman"/>
          <w:sz w:val="24"/>
          <w:szCs w:val="24"/>
        </w:rPr>
        <w:t>不变价格计算，同比增长5.1%。分产业看，第一产业增加值142.48亿元，同比增长2.6%；第二产业增加值7870.47亿元，同比增长5.0%；第三产业增加值8760.99亿元，同比增长5.1%。</w:t>
      </w:r>
    </w:p>
    <w:p w14:paraId="68742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方正黑体_GBK" w:cs="Times New Roman"/>
          <w:sz w:val="24"/>
          <w:szCs w:val="24"/>
        </w:rPr>
      </w:pPr>
      <w:r>
        <w:rPr>
          <w:rFonts w:ascii="Times New Roman" w:hAnsi="Times New Roman" w:eastAsia="方正黑体_GBK" w:cs="Times New Roman"/>
          <w:sz w:val="24"/>
          <w:szCs w:val="24"/>
        </w:rPr>
        <w:t>一、农作物供给保障有力，</w:t>
      </w:r>
      <w:r>
        <w:rPr>
          <w:rFonts w:hint="eastAsia" w:ascii="Times New Roman" w:hAnsi="Times New Roman" w:eastAsia="方正黑体_GBK" w:cs="Times New Roman"/>
          <w:sz w:val="24"/>
          <w:szCs w:val="24"/>
        </w:rPr>
        <w:t>粮食生产保持稳定</w:t>
      </w:r>
    </w:p>
    <w:p w14:paraId="0AC43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全年实现农林牧渔业总产值233.12亿元，同比增长2.7%。种植业稳中有增，粮食播种面积较上年增加0.69万亩，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粮食</w:t>
      </w:r>
      <w:r>
        <w:rPr>
          <w:rFonts w:ascii="Times New Roman" w:hAnsi="Times New Roman" w:eastAsia="方正仿宋_GBK" w:cs="Times New Roman"/>
          <w:sz w:val="24"/>
          <w:szCs w:val="24"/>
        </w:rPr>
        <w:t>总产量11.4亿斤，同比增长0.4%；蔬菜总产量127.18万吨，同比增长2.1%。园林水果产量18.00万吨，保持稳定。禽蛋、生牛奶产量稳步供应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，</w:t>
      </w:r>
      <w:r>
        <w:rPr>
          <w:rFonts w:ascii="Times New Roman" w:hAnsi="Times New Roman" w:eastAsia="方正仿宋_GBK" w:cs="Times New Roman"/>
          <w:sz w:val="24"/>
          <w:szCs w:val="24"/>
        </w:rPr>
        <w:t>全年活家禽存栏69.42万只，蛋鸡存栏57.09万只，同比分别增长10.4%、12.0%。生猪存栏10.55万头，出栏11.19万头，生牛奶产量0.59万吨。</w:t>
      </w:r>
    </w:p>
    <w:p w14:paraId="799A7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方正黑体_GBK" w:cs="Times New Roman"/>
          <w:sz w:val="24"/>
          <w:szCs w:val="24"/>
        </w:rPr>
      </w:pPr>
      <w:r>
        <w:rPr>
          <w:rFonts w:ascii="Times New Roman" w:hAnsi="Times New Roman" w:eastAsia="方正黑体_GBK" w:cs="Times New Roman"/>
          <w:sz w:val="24"/>
          <w:szCs w:val="24"/>
        </w:rPr>
        <w:t>二、工业生产平稳增长，装备制造业贡献提升</w:t>
      </w:r>
    </w:p>
    <w:p w14:paraId="0AB21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全年规模以上工业增加值同比增长5.9%。分行业看，装备制造业增加值同比增长7.9%，比上年提高1.4个百分点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。其中，</w:t>
      </w:r>
      <w:r>
        <w:rPr>
          <w:rFonts w:ascii="Times New Roman" w:hAnsi="Times New Roman" w:eastAsia="方正仿宋_GBK" w:cs="Times New Roman"/>
          <w:sz w:val="24"/>
          <w:szCs w:val="24"/>
        </w:rPr>
        <w:t>计算机、通信和其他电子设备制造业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增加值</w:t>
      </w:r>
      <w:r>
        <w:rPr>
          <w:rFonts w:ascii="Times New Roman" w:hAnsi="Times New Roman" w:eastAsia="方正仿宋_GBK" w:cs="Times New Roman"/>
          <w:sz w:val="24"/>
          <w:szCs w:val="24"/>
        </w:rPr>
        <w:t>同比增长14.8%，全年持续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呈现</w:t>
      </w:r>
      <w:r>
        <w:rPr>
          <w:rFonts w:ascii="Times New Roman" w:hAnsi="Times New Roman" w:eastAsia="方正仿宋_GBK" w:cs="Times New Roman"/>
          <w:sz w:val="24"/>
          <w:szCs w:val="24"/>
        </w:rPr>
        <w:t>两位数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高速</w:t>
      </w:r>
      <w:r>
        <w:rPr>
          <w:rFonts w:ascii="Times New Roman" w:hAnsi="Times New Roman" w:eastAsia="方正仿宋_GBK" w:cs="Times New Roman"/>
          <w:sz w:val="24"/>
          <w:szCs w:val="24"/>
        </w:rPr>
        <w:t>增长，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为全市</w:t>
      </w:r>
      <w:r>
        <w:rPr>
          <w:rFonts w:ascii="Times New Roman" w:hAnsi="Times New Roman" w:eastAsia="方正仿宋_GBK" w:cs="Times New Roman"/>
          <w:sz w:val="24"/>
          <w:szCs w:val="24"/>
        </w:rPr>
        <w:t>工业增长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呈现重要</w:t>
      </w:r>
      <w:r>
        <w:rPr>
          <w:rFonts w:ascii="Times New Roman" w:hAnsi="Times New Roman" w:eastAsia="方正仿宋_GBK" w:cs="Times New Roman"/>
          <w:sz w:val="24"/>
          <w:szCs w:val="24"/>
        </w:rPr>
        <w:t>支撑。分经济类型看，外商及港澳台商投资企业增加值同比增长7.4%，内资企业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增加值</w:t>
      </w:r>
      <w:r>
        <w:rPr>
          <w:rFonts w:ascii="Times New Roman" w:hAnsi="Times New Roman" w:eastAsia="方正仿宋_GBK" w:cs="Times New Roman"/>
          <w:sz w:val="24"/>
          <w:szCs w:val="24"/>
        </w:rPr>
        <w:t>同比增长5.1%，私营企业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增加值</w:t>
      </w:r>
      <w:r>
        <w:rPr>
          <w:rFonts w:ascii="Times New Roman" w:hAnsi="Times New Roman" w:eastAsia="方正仿宋_GBK" w:cs="Times New Roman"/>
          <w:sz w:val="24"/>
          <w:szCs w:val="24"/>
        </w:rPr>
        <w:t>同比增长6.0%。</w:t>
      </w:r>
    </w:p>
    <w:p w14:paraId="278E1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方正黑体_GBK" w:cs="Times New Roman"/>
          <w:sz w:val="24"/>
          <w:szCs w:val="24"/>
        </w:rPr>
      </w:pPr>
      <w:r>
        <w:rPr>
          <w:rFonts w:ascii="Times New Roman" w:hAnsi="Times New Roman" w:eastAsia="方正黑体_GBK" w:cs="Times New Roman"/>
          <w:sz w:val="24"/>
          <w:szCs w:val="24"/>
        </w:rPr>
        <w:t>三、服务业增长较快，生产性服务业支撑有力</w:t>
      </w:r>
    </w:p>
    <w:p w14:paraId="557AF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方正仿宋_GBK" w:cs="Times New Roman"/>
          <w:sz w:val="24"/>
          <w:szCs w:val="24"/>
        </w:rPr>
      </w:pPr>
      <w:bookmarkStart w:id="0" w:name="OLE_LINK1"/>
      <w:r>
        <w:rPr>
          <w:rFonts w:ascii="Times New Roman" w:hAnsi="Times New Roman" w:eastAsia="方正仿宋_GBK" w:cs="Times New Roman"/>
          <w:sz w:val="24"/>
          <w:szCs w:val="24"/>
        </w:rPr>
        <w:t>1-11月，全市规模以上服务业实现营业收入2374.3亿元，同比增长6.6%，其中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，</w:t>
      </w:r>
      <w:r>
        <w:rPr>
          <w:rFonts w:ascii="Times New Roman" w:hAnsi="Times New Roman" w:eastAsia="方正仿宋_GBK" w:cs="Times New Roman"/>
          <w:sz w:val="24"/>
          <w:szCs w:val="24"/>
        </w:rPr>
        <w:t>科技服务业、居民服务业、水利环境和公共设施管理业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营业收入</w:t>
      </w:r>
      <w:r>
        <w:rPr>
          <w:rFonts w:ascii="Times New Roman" w:hAnsi="Times New Roman" w:eastAsia="方正仿宋_GBK" w:cs="Times New Roman"/>
          <w:sz w:val="24"/>
          <w:szCs w:val="24"/>
        </w:rPr>
        <w:t>同比分别增长16.4%、14.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8</w:t>
      </w:r>
      <w:r>
        <w:rPr>
          <w:rFonts w:ascii="Times New Roman" w:hAnsi="Times New Roman" w:eastAsia="方正仿宋_GBK" w:cs="Times New Roman"/>
          <w:sz w:val="24"/>
          <w:szCs w:val="24"/>
        </w:rPr>
        <w:t>%、14.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3</w:t>
      </w:r>
      <w:r>
        <w:rPr>
          <w:rFonts w:ascii="Times New Roman" w:hAnsi="Times New Roman" w:eastAsia="方正仿宋_GBK" w:cs="Times New Roman"/>
          <w:sz w:val="24"/>
          <w:szCs w:val="24"/>
        </w:rPr>
        <w:t>%。生产性服务业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增长</w:t>
      </w:r>
      <w:r>
        <w:rPr>
          <w:rFonts w:ascii="Times New Roman" w:hAnsi="Times New Roman" w:eastAsia="方正仿宋_GBK" w:cs="Times New Roman"/>
          <w:sz w:val="24"/>
          <w:szCs w:val="24"/>
        </w:rPr>
        <w:t>贡献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作用突出</w:t>
      </w:r>
      <w:r>
        <w:rPr>
          <w:rFonts w:ascii="Times New Roman" w:hAnsi="Times New Roman" w:eastAsia="方正仿宋_GBK" w:cs="Times New Roman"/>
          <w:sz w:val="24"/>
          <w:szCs w:val="24"/>
        </w:rPr>
        <w:t>，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规模以上</w:t>
      </w:r>
      <w:r>
        <w:rPr>
          <w:rFonts w:ascii="Times New Roman" w:hAnsi="Times New Roman" w:eastAsia="方正仿宋_GBK" w:cs="Times New Roman"/>
          <w:sz w:val="24"/>
          <w:szCs w:val="24"/>
        </w:rPr>
        <w:t>生产性服务业营业收入同比增长7.4%，拉动全部规模以上服务业增长5.0个百分点，其中，研发设计与其他技术服务业、商务服务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业营业收入同比</w:t>
      </w:r>
      <w:r>
        <w:rPr>
          <w:rFonts w:ascii="Times New Roman" w:hAnsi="Times New Roman" w:eastAsia="方正仿宋_GBK" w:cs="Times New Roman"/>
          <w:sz w:val="24"/>
          <w:szCs w:val="24"/>
        </w:rPr>
        <w:t>分别增长17.0%、19.5%。</w:t>
      </w:r>
      <w:bookmarkEnd w:id="0"/>
    </w:p>
    <w:p w14:paraId="413AB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方正黑体_GBK" w:cs="Times New Roman"/>
          <w:sz w:val="24"/>
          <w:szCs w:val="24"/>
        </w:rPr>
      </w:pPr>
      <w:r>
        <w:rPr>
          <w:rFonts w:ascii="Times New Roman" w:hAnsi="Times New Roman" w:eastAsia="方正黑体_GBK" w:cs="Times New Roman"/>
          <w:sz w:val="24"/>
          <w:szCs w:val="24"/>
        </w:rPr>
        <w:t>四、消费市场</w:t>
      </w:r>
      <w:r>
        <w:rPr>
          <w:rFonts w:hint="eastAsia" w:ascii="Times New Roman" w:hAnsi="Times New Roman" w:eastAsia="方正黑体_GBK" w:cs="Times New Roman"/>
          <w:sz w:val="24"/>
          <w:szCs w:val="24"/>
        </w:rPr>
        <w:t>持续改善</w:t>
      </w:r>
      <w:r>
        <w:rPr>
          <w:rFonts w:ascii="Times New Roman" w:hAnsi="Times New Roman" w:eastAsia="方正黑体_GBK" w:cs="Times New Roman"/>
          <w:sz w:val="24"/>
          <w:szCs w:val="24"/>
        </w:rPr>
        <w:t>，网上零售表现活跃</w:t>
      </w:r>
    </w:p>
    <w:p w14:paraId="0684E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全年实现社会消费品零售总额4418.47亿元，同比增长3.1%。限额以上批发和零售业18类主要商品中，12类商品零售额呈现正增长，其中，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限额以上</w:t>
      </w:r>
      <w:r>
        <w:rPr>
          <w:rFonts w:ascii="Times New Roman" w:hAnsi="Times New Roman" w:eastAsia="方正仿宋_GBK" w:cs="Times New Roman"/>
          <w:sz w:val="24"/>
          <w:szCs w:val="24"/>
        </w:rPr>
        <w:t>通讯器材类、日用品类、家用电器和音像器材类等商品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零售额</w:t>
      </w:r>
      <w:r>
        <w:rPr>
          <w:rFonts w:ascii="Times New Roman" w:hAnsi="Times New Roman" w:eastAsia="方正仿宋_GBK" w:cs="Times New Roman"/>
          <w:sz w:val="24"/>
          <w:szCs w:val="24"/>
        </w:rPr>
        <w:t>增长较快，同比分别增长15.3%、13.2%、12.8%。限额以上消费品通过公共网络实现的商品零售额同比增长36.5%，拉动限额以上零售额增长6.8个百分点。</w:t>
      </w:r>
    </w:p>
    <w:p w14:paraId="18A47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方正黑体_GBK" w:cs="Times New Roman"/>
          <w:sz w:val="24"/>
          <w:szCs w:val="24"/>
        </w:rPr>
      </w:pPr>
      <w:r>
        <w:rPr>
          <w:rFonts w:ascii="Times New Roman" w:hAnsi="Times New Roman" w:eastAsia="方正黑体_GBK" w:cs="Times New Roman"/>
          <w:sz w:val="24"/>
          <w:szCs w:val="24"/>
        </w:rPr>
        <w:t>五、固定资产投资</w:t>
      </w:r>
      <w:r>
        <w:rPr>
          <w:rFonts w:hint="eastAsia" w:ascii="Times New Roman" w:hAnsi="Times New Roman" w:eastAsia="方正黑体_GBK" w:cs="Times New Roman"/>
          <w:sz w:val="24"/>
          <w:szCs w:val="24"/>
        </w:rPr>
        <w:t>结构优化</w:t>
      </w:r>
      <w:r>
        <w:rPr>
          <w:rFonts w:ascii="Times New Roman" w:hAnsi="Times New Roman" w:eastAsia="方正黑体_GBK" w:cs="Times New Roman"/>
          <w:sz w:val="24"/>
          <w:szCs w:val="24"/>
        </w:rPr>
        <w:t>，设备购置投资</w:t>
      </w:r>
      <w:r>
        <w:rPr>
          <w:rFonts w:hint="eastAsia" w:ascii="Times New Roman" w:hAnsi="Times New Roman" w:eastAsia="方正黑体_GBK" w:cs="Times New Roman"/>
          <w:sz w:val="24"/>
          <w:szCs w:val="24"/>
        </w:rPr>
        <w:t>占比提高</w:t>
      </w:r>
    </w:p>
    <w:p w14:paraId="0B774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全年固定资产投资同比下降13.3%，其中，电力热力、租赁商务、信息传输软件和信息技术服务业投资额同比分别增长12.2%、10.1%、8.8%。大规模设备更新扎实推进，工业技改投资同比增长，设备工器具购置投资占全部投资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比重达到</w:t>
      </w:r>
      <w:r>
        <w:rPr>
          <w:rFonts w:ascii="Times New Roman" w:hAnsi="Times New Roman" w:eastAsia="方正仿宋_GBK" w:cs="Times New Roman"/>
          <w:sz w:val="24"/>
          <w:szCs w:val="24"/>
        </w:rPr>
        <w:t>20.5%，较上年提高1.5个百分点，其中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，</w:t>
      </w:r>
      <w:r>
        <w:rPr>
          <w:rFonts w:ascii="Times New Roman" w:hAnsi="Times New Roman" w:eastAsia="方正仿宋_GBK" w:cs="Times New Roman"/>
          <w:sz w:val="24"/>
          <w:szCs w:val="24"/>
        </w:rPr>
        <w:t>航空、航天器及设备制造业、医药制造业、医疗仪器设备及仪器仪表制造业等行业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投资额保持两位数增长</w:t>
      </w:r>
      <w:r>
        <w:rPr>
          <w:rFonts w:ascii="Times New Roman" w:hAnsi="Times New Roman" w:eastAsia="方正仿宋_GBK" w:cs="Times New Roman"/>
          <w:sz w:val="24"/>
          <w:szCs w:val="24"/>
        </w:rPr>
        <w:t>。</w:t>
      </w:r>
    </w:p>
    <w:p w14:paraId="5225B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方正黑体_GBK" w:cs="Times New Roman"/>
          <w:sz w:val="24"/>
          <w:szCs w:val="24"/>
        </w:rPr>
      </w:pPr>
      <w:r>
        <w:rPr>
          <w:rFonts w:ascii="Times New Roman" w:hAnsi="Times New Roman" w:eastAsia="方正黑体_GBK" w:cs="Times New Roman"/>
          <w:sz w:val="24"/>
          <w:szCs w:val="24"/>
        </w:rPr>
        <w:t>六、外贸韧性持续彰显，高新技术产品</w:t>
      </w:r>
      <w:r>
        <w:rPr>
          <w:rFonts w:hint="eastAsia" w:ascii="Times New Roman" w:hAnsi="Times New Roman" w:eastAsia="方正黑体_GBK" w:cs="Times New Roman"/>
          <w:sz w:val="24"/>
          <w:szCs w:val="24"/>
        </w:rPr>
        <w:t>出口</w:t>
      </w:r>
      <w:r>
        <w:rPr>
          <w:rFonts w:ascii="Times New Roman" w:hAnsi="Times New Roman" w:eastAsia="方正黑体_GBK" w:cs="Times New Roman"/>
          <w:sz w:val="24"/>
          <w:szCs w:val="24"/>
        </w:rPr>
        <w:t>增速加快</w:t>
      </w:r>
    </w:p>
    <w:p w14:paraId="4D1A1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全年实现进出口总值8292.76亿元，同比增长7.6%。其中，出口总值</w:t>
      </w:r>
      <w:r>
        <w:rPr>
          <w:rFonts w:ascii="Times New Roman" w:hAnsi="Times New Roman" w:cs="Times New Roman"/>
          <w:sz w:val="24"/>
          <w:szCs w:val="24"/>
        </w:rPr>
        <w:t>5751.53</w:t>
      </w:r>
      <w:r>
        <w:rPr>
          <w:rFonts w:ascii="Times New Roman" w:hAnsi="Times New Roman" w:eastAsia="方正仿宋_GBK" w:cs="Times New Roman"/>
          <w:sz w:val="24"/>
          <w:szCs w:val="24"/>
        </w:rPr>
        <w:t>亿元，同比增长14.2%；进口总值</w:t>
      </w:r>
      <w:r>
        <w:rPr>
          <w:rFonts w:ascii="Times New Roman" w:hAnsi="Times New Roman" w:cs="Times New Roman"/>
          <w:sz w:val="24"/>
          <w:szCs w:val="24"/>
        </w:rPr>
        <w:t>2541.22</w:t>
      </w:r>
      <w:r>
        <w:rPr>
          <w:rFonts w:ascii="Times New Roman" w:hAnsi="Times New Roman" w:eastAsia="方正仿宋_GBK" w:cs="Times New Roman"/>
          <w:sz w:val="24"/>
          <w:szCs w:val="24"/>
        </w:rPr>
        <w:t>亿元，同比下降4.9%。</w:t>
      </w:r>
      <w:r>
        <w:rPr>
          <w:rFonts w:ascii="Times New Roman" w:hAnsi="Times New Roman" w:eastAsia="方正仿宋_GBK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从贸易方式看，一般贸易</w:t>
      </w:r>
      <w:r>
        <w:rPr>
          <w:rFonts w:hint="eastAsia" w:ascii="Times New Roman" w:hAnsi="Times New Roman" w:eastAsia="方正仿宋_GBK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方式</w:t>
      </w:r>
      <w:r>
        <w:rPr>
          <w:rFonts w:ascii="Times New Roman" w:hAnsi="Times New Roman" w:eastAsia="方正仿宋_GBK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进出口总值4454.27亿元，同比增长0.9%；加工贸易</w:t>
      </w:r>
      <w:r>
        <w:rPr>
          <w:rFonts w:hint="eastAsia" w:ascii="Times New Roman" w:hAnsi="Times New Roman" w:eastAsia="方正仿宋_GBK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方式</w:t>
      </w:r>
      <w:r>
        <w:rPr>
          <w:rFonts w:ascii="Times New Roman" w:hAnsi="Times New Roman" w:eastAsia="方正仿宋_GBK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进出口总值3086.40亿元，同比增长14.8%。从主要产品看，高新技术产品出口总值2384.20亿元，同比增长24.8%，较上年提高12.6个百分点，全市外贸</w:t>
      </w:r>
      <w:r>
        <w:rPr>
          <w:rFonts w:hint="eastAsia" w:ascii="Times New Roman" w:hAnsi="Times New Roman" w:eastAsia="方正仿宋_GBK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出口产品</w:t>
      </w:r>
      <w:r>
        <w:rPr>
          <w:rFonts w:ascii="Times New Roman" w:hAnsi="Times New Roman" w:eastAsia="方正仿宋_GBK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结构</w:t>
      </w:r>
      <w:r>
        <w:rPr>
          <w:rFonts w:hint="eastAsia" w:ascii="Times New Roman" w:hAnsi="Times New Roman" w:eastAsia="方正仿宋_GBK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呈现</w:t>
      </w:r>
      <w:r>
        <w:rPr>
          <w:rFonts w:ascii="Times New Roman" w:hAnsi="Times New Roman" w:eastAsia="方正仿宋_GBK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优化。</w:t>
      </w:r>
    </w:p>
    <w:p w14:paraId="20A0A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方正黑体_GBK" w:cs="Times New Roman"/>
          <w:sz w:val="24"/>
          <w:szCs w:val="24"/>
        </w:rPr>
      </w:pPr>
      <w:r>
        <w:rPr>
          <w:rFonts w:ascii="Times New Roman" w:hAnsi="Times New Roman" w:eastAsia="方正黑体_GBK" w:cs="Times New Roman"/>
          <w:sz w:val="24"/>
          <w:szCs w:val="24"/>
        </w:rPr>
        <w:t>七、金融市场运行稳健，资本市场</w:t>
      </w:r>
      <w:r>
        <w:rPr>
          <w:rFonts w:hint="eastAsia" w:ascii="Times New Roman" w:hAnsi="Times New Roman" w:eastAsia="方正黑体_GBK" w:cs="Times New Roman"/>
          <w:sz w:val="24"/>
          <w:szCs w:val="24"/>
        </w:rPr>
        <w:t>持续</w:t>
      </w:r>
      <w:r>
        <w:rPr>
          <w:rFonts w:ascii="Times New Roman" w:hAnsi="Times New Roman" w:eastAsia="方正黑体_GBK" w:cs="Times New Roman"/>
          <w:sz w:val="24"/>
          <w:szCs w:val="24"/>
        </w:rPr>
        <w:t>扩容</w:t>
      </w:r>
    </w:p>
    <w:p w14:paraId="57CF2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截至12月末，全市金融机构本外币存款余额</w:t>
      </w:r>
      <w:r>
        <w:rPr>
          <w:rFonts w:ascii="Times New Roman" w:hAnsi="Times New Roman" w:cs="Times New Roman"/>
          <w:sz w:val="24"/>
          <w:szCs w:val="24"/>
        </w:rPr>
        <w:t>30831.80</w:t>
      </w:r>
      <w:r>
        <w:rPr>
          <w:rFonts w:ascii="Times New Roman" w:hAnsi="Times New Roman" w:eastAsia="方正仿宋_GBK" w:cs="Times New Roman"/>
          <w:sz w:val="24"/>
          <w:szCs w:val="24"/>
        </w:rPr>
        <w:t>亿元，同比增长6.6%。金融机构本外币贷款余额</w:t>
      </w:r>
      <w:r>
        <w:rPr>
          <w:rFonts w:ascii="Times New Roman" w:hAnsi="Times New Roman" w:cs="Times New Roman"/>
          <w:sz w:val="24"/>
          <w:szCs w:val="24"/>
        </w:rPr>
        <w:t>27251.13</w:t>
      </w:r>
      <w:r>
        <w:rPr>
          <w:rFonts w:ascii="Times New Roman" w:hAnsi="Times New Roman" w:eastAsia="方正仿宋_GBK" w:cs="Times New Roman"/>
          <w:sz w:val="24"/>
          <w:szCs w:val="24"/>
        </w:rPr>
        <w:t>亿元，同比增长8.4%。重点领域信贷支持力度加大，制造业贷款余额同比增长8.3%，租赁和商务服务业贷款余额同比增长11.5%。资本市场发展态势向好，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全年新增上市公司8家，A股上市公司存续数达到127家</w:t>
      </w:r>
      <w:r>
        <w:rPr>
          <w:rFonts w:ascii="Times New Roman" w:hAnsi="Times New Roman" w:eastAsia="方正仿宋_GBK" w:cs="Times New Roman"/>
          <w:sz w:val="24"/>
          <w:szCs w:val="24"/>
        </w:rPr>
        <w:t>。</w:t>
      </w:r>
    </w:p>
    <w:p w14:paraId="6C69B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方正黑体_GBK" w:cs="Times New Roman"/>
          <w:sz w:val="24"/>
          <w:szCs w:val="24"/>
        </w:rPr>
      </w:pPr>
      <w:r>
        <w:rPr>
          <w:rFonts w:ascii="Times New Roman" w:hAnsi="Times New Roman" w:eastAsia="方正黑体_GBK" w:cs="Times New Roman"/>
          <w:sz w:val="24"/>
          <w:szCs w:val="24"/>
        </w:rPr>
        <w:t>八、物价涨幅保持平稳，居民收入持续增长</w:t>
      </w:r>
    </w:p>
    <w:p w14:paraId="0D3B4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方正仿宋_GBK" w:cs="Times New Roman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全年无锡居民消费价格与上年持平</w:t>
      </w:r>
      <w:r>
        <w:rPr>
          <w:rFonts w:ascii="Times New Roman" w:hAnsi="Times New Roman" w:eastAsia="方正仿宋_GBK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分品类看，衣着类同比上涨1.8%、生活用品及服务类同比上涨1.1%、医疗保健类同比上涨0.4%、其他用品及服务类同比上涨10.6%；食品烟酒类、居住类、交通通信类分别同比下降0.5%、0.7%、1.9%；教育文化娱乐类与上年持平。全市居民人均可支配收入75200元，同比增长</w:t>
      </w:r>
      <w:r>
        <w:rPr>
          <w:rFonts w:ascii="Times New Roman" w:hAnsi="Times New Roman" w:eastAsia="方正仿宋_GBK" w:cs="Times New Roman"/>
          <w:sz w:val="24"/>
          <w:szCs w:val="24"/>
        </w:rPr>
        <w:t>4.1%。其中，城镇常住居民人均可支配收入83158元，同比增长3.9%；农村常住居民人均可支配收入49181元，同比增长4.5%。城乡居民收入比为1.69，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较</w:t>
      </w:r>
      <w:r>
        <w:rPr>
          <w:rFonts w:ascii="Times New Roman" w:hAnsi="Times New Roman" w:eastAsia="方正仿宋_GBK" w:cs="Times New Roman"/>
          <w:sz w:val="24"/>
          <w:szCs w:val="24"/>
        </w:rPr>
        <w:t>上年降低0.01。</w:t>
      </w:r>
    </w:p>
    <w:sectPr>
      <w:pgSz w:w="11906" w:h="16838"/>
      <w:pgMar w:top="1298" w:right="1158" w:bottom="1340" w:left="1388" w:header="851" w:footer="992" w:gutter="0"/>
      <w:cols w:space="425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E09"/>
    <w:rsid w:val="00072650"/>
    <w:rsid w:val="00081A19"/>
    <w:rsid w:val="000B20F4"/>
    <w:rsid w:val="000D640F"/>
    <w:rsid w:val="002954F4"/>
    <w:rsid w:val="00346899"/>
    <w:rsid w:val="00366197"/>
    <w:rsid w:val="003761F6"/>
    <w:rsid w:val="004A7CB6"/>
    <w:rsid w:val="00672CAF"/>
    <w:rsid w:val="00696F37"/>
    <w:rsid w:val="0082606A"/>
    <w:rsid w:val="00856487"/>
    <w:rsid w:val="00884BD9"/>
    <w:rsid w:val="00AF4D38"/>
    <w:rsid w:val="00CD002D"/>
    <w:rsid w:val="00D12E09"/>
    <w:rsid w:val="01421C28"/>
    <w:rsid w:val="014616BC"/>
    <w:rsid w:val="014D7386"/>
    <w:rsid w:val="01906651"/>
    <w:rsid w:val="01964F0E"/>
    <w:rsid w:val="01BC00A7"/>
    <w:rsid w:val="01C27E68"/>
    <w:rsid w:val="01CC6D86"/>
    <w:rsid w:val="01E43475"/>
    <w:rsid w:val="02442895"/>
    <w:rsid w:val="025D3CD8"/>
    <w:rsid w:val="026F1C08"/>
    <w:rsid w:val="02804B6B"/>
    <w:rsid w:val="02BB2D5C"/>
    <w:rsid w:val="02DC2E10"/>
    <w:rsid w:val="02E36E7A"/>
    <w:rsid w:val="02F41834"/>
    <w:rsid w:val="035C73A4"/>
    <w:rsid w:val="03945F51"/>
    <w:rsid w:val="03992A2D"/>
    <w:rsid w:val="03B9665C"/>
    <w:rsid w:val="03C40E6F"/>
    <w:rsid w:val="03D62132"/>
    <w:rsid w:val="03DA4021"/>
    <w:rsid w:val="042C71F5"/>
    <w:rsid w:val="045947FE"/>
    <w:rsid w:val="04663330"/>
    <w:rsid w:val="047D7E3B"/>
    <w:rsid w:val="0486480B"/>
    <w:rsid w:val="04867A65"/>
    <w:rsid w:val="04AD3561"/>
    <w:rsid w:val="04EC725D"/>
    <w:rsid w:val="04EE3BA8"/>
    <w:rsid w:val="055E6859"/>
    <w:rsid w:val="056C2A13"/>
    <w:rsid w:val="05A333E3"/>
    <w:rsid w:val="05FE2996"/>
    <w:rsid w:val="061665C9"/>
    <w:rsid w:val="06250757"/>
    <w:rsid w:val="06393083"/>
    <w:rsid w:val="06397FBD"/>
    <w:rsid w:val="064327B4"/>
    <w:rsid w:val="06747DAC"/>
    <w:rsid w:val="067F7A21"/>
    <w:rsid w:val="068501B1"/>
    <w:rsid w:val="06D20F47"/>
    <w:rsid w:val="06D27AC0"/>
    <w:rsid w:val="06DC007B"/>
    <w:rsid w:val="07112E5D"/>
    <w:rsid w:val="07125CAD"/>
    <w:rsid w:val="072B2CF9"/>
    <w:rsid w:val="07695575"/>
    <w:rsid w:val="07AE1D15"/>
    <w:rsid w:val="07B7487A"/>
    <w:rsid w:val="07CC6E25"/>
    <w:rsid w:val="07E5770A"/>
    <w:rsid w:val="080B4518"/>
    <w:rsid w:val="081C6CEE"/>
    <w:rsid w:val="081D4EDF"/>
    <w:rsid w:val="08244C03"/>
    <w:rsid w:val="082572F7"/>
    <w:rsid w:val="08481863"/>
    <w:rsid w:val="08661A48"/>
    <w:rsid w:val="086B59AA"/>
    <w:rsid w:val="087D5EF5"/>
    <w:rsid w:val="08A76AAB"/>
    <w:rsid w:val="093B5165"/>
    <w:rsid w:val="094F07C0"/>
    <w:rsid w:val="095B20A6"/>
    <w:rsid w:val="09A856A0"/>
    <w:rsid w:val="0A014E52"/>
    <w:rsid w:val="0A057870"/>
    <w:rsid w:val="0A0A6CF9"/>
    <w:rsid w:val="0A0F3D87"/>
    <w:rsid w:val="0A4723F5"/>
    <w:rsid w:val="0A606148"/>
    <w:rsid w:val="0A615DA2"/>
    <w:rsid w:val="0A842C58"/>
    <w:rsid w:val="0AAB78A4"/>
    <w:rsid w:val="0AC66F19"/>
    <w:rsid w:val="0ACE58B1"/>
    <w:rsid w:val="0AF77354"/>
    <w:rsid w:val="0B562E00"/>
    <w:rsid w:val="0B577EC5"/>
    <w:rsid w:val="0B6F33C0"/>
    <w:rsid w:val="0B787922"/>
    <w:rsid w:val="0BCA3746"/>
    <w:rsid w:val="0BCF5F8D"/>
    <w:rsid w:val="0C075FEA"/>
    <w:rsid w:val="0C304A72"/>
    <w:rsid w:val="0C9C62B7"/>
    <w:rsid w:val="0CB21D4E"/>
    <w:rsid w:val="0CC44469"/>
    <w:rsid w:val="0CFD4DD5"/>
    <w:rsid w:val="0D3825FC"/>
    <w:rsid w:val="0D774878"/>
    <w:rsid w:val="0D7C2B0E"/>
    <w:rsid w:val="0D864461"/>
    <w:rsid w:val="0D9746E8"/>
    <w:rsid w:val="0D9F6AA7"/>
    <w:rsid w:val="0DAD4BA4"/>
    <w:rsid w:val="0DB946FD"/>
    <w:rsid w:val="0DD72F39"/>
    <w:rsid w:val="0DF0726F"/>
    <w:rsid w:val="0E100CFD"/>
    <w:rsid w:val="0E924CED"/>
    <w:rsid w:val="0EAD1DE1"/>
    <w:rsid w:val="0EAE3658"/>
    <w:rsid w:val="0ECC2B60"/>
    <w:rsid w:val="0EED789A"/>
    <w:rsid w:val="0EF10B92"/>
    <w:rsid w:val="0F1955B8"/>
    <w:rsid w:val="0F217551"/>
    <w:rsid w:val="0F2F1860"/>
    <w:rsid w:val="0F4301CC"/>
    <w:rsid w:val="0F49478A"/>
    <w:rsid w:val="0F6A6FD8"/>
    <w:rsid w:val="0FB43B52"/>
    <w:rsid w:val="0FB532D5"/>
    <w:rsid w:val="0FB53D81"/>
    <w:rsid w:val="0FFD70A9"/>
    <w:rsid w:val="10207DA0"/>
    <w:rsid w:val="105E600F"/>
    <w:rsid w:val="10704E86"/>
    <w:rsid w:val="11151911"/>
    <w:rsid w:val="111D5BAD"/>
    <w:rsid w:val="11854620"/>
    <w:rsid w:val="11934D1E"/>
    <w:rsid w:val="11A953BD"/>
    <w:rsid w:val="11AD1830"/>
    <w:rsid w:val="11B6622B"/>
    <w:rsid w:val="11ED746E"/>
    <w:rsid w:val="121627DE"/>
    <w:rsid w:val="12585DF1"/>
    <w:rsid w:val="12595D9C"/>
    <w:rsid w:val="127A3F62"/>
    <w:rsid w:val="12AB2FDA"/>
    <w:rsid w:val="12BE0EB7"/>
    <w:rsid w:val="12D3549E"/>
    <w:rsid w:val="12F96D44"/>
    <w:rsid w:val="131245EF"/>
    <w:rsid w:val="13546A5E"/>
    <w:rsid w:val="13581A3D"/>
    <w:rsid w:val="135A61E8"/>
    <w:rsid w:val="13690E24"/>
    <w:rsid w:val="13D52089"/>
    <w:rsid w:val="13E90FC6"/>
    <w:rsid w:val="14352A86"/>
    <w:rsid w:val="14447E71"/>
    <w:rsid w:val="144C732F"/>
    <w:rsid w:val="14534833"/>
    <w:rsid w:val="14567DC9"/>
    <w:rsid w:val="148E1774"/>
    <w:rsid w:val="14A07729"/>
    <w:rsid w:val="14B9000B"/>
    <w:rsid w:val="14C2156C"/>
    <w:rsid w:val="14D84BC1"/>
    <w:rsid w:val="152E1FA3"/>
    <w:rsid w:val="15304E43"/>
    <w:rsid w:val="15367701"/>
    <w:rsid w:val="156F577F"/>
    <w:rsid w:val="15A91313"/>
    <w:rsid w:val="15AD7FB6"/>
    <w:rsid w:val="15C57C51"/>
    <w:rsid w:val="15DE2A0F"/>
    <w:rsid w:val="15E34335"/>
    <w:rsid w:val="15EA028F"/>
    <w:rsid w:val="161B5665"/>
    <w:rsid w:val="161D5142"/>
    <w:rsid w:val="16582732"/>
    <w:rsid w:val="170F3B3B"/>
    <w:rsid w:val="171C44A9"/>
    <w:rsid w:val="1724427C"/>
    <w:rsid w:val="173733D0"/>
    <w:rsid w:val="1741416B"/>
    <w:rsid w:val="175E7780"/>
    <w:rsid w:val="176B7E52"/>
    <w:rsid w:val="177A4E8B"/>
    <w:rsid w:val="17885E7B"/>
    <w:rsid w:val="17AC4D76"/>
    <w:rsid w:val="17AF663E"/>
    <w:rsid w:val="18530F36"/>
    <w:rsid w:val="187E3063"/>
    <w:rsid w:val="18B859CA"/>
    <w:rsid w:val="18C6444A"/>
    <w:rsid w:val="18D53C35"/>
    <w:rsid w:val="18DC1283"/>
    <w:rsid w:val="18DD1FC9"/>
    <w:rsid w:val="18ED7495"/>
    <w:rsid w:val="1939475D"/>
    <w:rsid w:val="193B0EA8"/>
    <w:rsid w:val="193C7053"/>
    <w:rsid w:val="194B3F42"/>
    <w:rsid w:val="1976668D"/>
    <w:rsid w:val="19A12341"/>
    <w:rsid w:val="19B176E4"/>
    <w:rsid w:val="19DD789D"/>
    <w:rsid w:val="19E82BA5"/>
    <w:rsid w:val="19F65454"/>
    <w:rsid w:val="19FD4ACC"/>
    <w:rsid w:val="1A1B135F"/>
    <w:rsid w:val="1A211F7B"/>
    <w:rsid w:val="1A664A13"/>
    <w:rsid w:val="1A6C35D7"/>
    <w:rsid w:val="1A8A7BDB"/>
    <w:rsid w:val="1A9051EA"/>
    <w:rsid w:val="1AA237F2"/>
    <w:rsid w:val="1AAF31B9"/>
    <w:rsid w:val="1AE846D8"/>
    <w:rsid w:val="1AFA6EA2"/>
    <w:rsid w:val="1AFE439F"/>
    <w:rsid w:val="1B1D7D84"/>
    <w:rsid w:val="1B2C0E0B"/>
    <w:rsid w:val="1B423CCC"/>
    <w:rsid w:val="1B542094"/>
    <w:rsid w:val="1BB1035B"/>
    <w:rsid w:val="1BBE537D"/>
    <w:rsid w:val="1BDB0591"/>
    <w:rsid w:val="1BFD3F1E"/>
    <w:rsid w:val="1C0A07EC"/>
    <w:rsid w:val="1C35082F"/>
    <w:rsid w:val="1C4A56F2"/>
    <w:rsid w:val="1C63575F"/>
    <w:rsid w:val="1C956642"/>
    <w:rsid w:val="1CF9076D"/>
    <w:rsid w:val="1CFD1F23"/>
    <w:rsid w:val="1D192FC4"/>
    <w:rsid w:val="1D6A49E9"/>
    <w:rsid w:val="1D853D95"/>
    <w:rsid w:val="1DF748A5"/>
    <w:rsid w:val="1E0639F7"/>
    <w:rsid w:val="1E235162"/>
    <w:rsid w:val="1E376CA6"/>
    <w:rsid w:val="1E391A0B"/>
    <w:rsid w:val="1E485577"/>
    <w:rsid w:val="1E5E6574"/>
    <w:rsid w:val="1E7835C7"/>
    <w:rsid w:val="1EA24B0C"/>
    <w:rsid w:val="1EAE28B8"/>
    <w:rsid w:val="1ECD1E46"/>
    <w:rsid w:val="1EE60405"/>
    <w:rsid w:val="1F621DD5"/>
    <w:rsid w:val="1F691167"/>
    <w:rsid w:val="1F763BCE"/>
    <w:rsid w:val="1F932E8E"/>
    <w:rsid w:val="1FA31E69"/>
    <w:rsid w:val="1FC9259D"/>
    <w:rsid w:val="1FCE235E"/>
    <w:rsid w:val="1FD94122"/>
    <w:rsid w:val="1FEB5EAB"/>
    <w:rsid w:val="2004446A"/>
    <w:rsid w:val="202C1712"/>
    <w:rsid w:val="20656A41"/>
    <w:rsid w:val="207A7F29"/>
    <w:rsid w:val="20964647"/>
    <w:rsid w:val="20A024CA"/>
    <w:rsid w:val="20A06DDC"/>
    <w:rsid w:val="20EF3996"/>
    <w:rsid w:val="21192917"/>
    <w:rsid w:val="21310A97"/>
    <w:rsid w:val="21596FBA"/>
    <w:rsid w:val="215D17FE"/>
    <w:rsid w:val="2161137E"/>
    <w:rsid w:val="21675EB1"/>
    <w:rsid w:val="21710795"/>
    <w:rsid w:val="219D3FAC"/>
    <w:rsid w:val="21B2053A"/>
    <w:rsid w:val="223C0C25"/>
    <w:rsid w:val="224B5E93"/>
    <w:rsid w:val="226A7C01"/>
    <w:rsid w:val="22713CF2"/>
    <w:rsid w:val="22B71181"/>
    <w:rsid w:val="22E9261D"/>
    <w:rsid w:val="22E93D43"/>
    <w:rsid w:val="230F2029"/>
    <w:rsid w:val="23325855"/>
    <w:rsid w:val="235649F8"/>
    <w:rsid w:val="2364459D"/>
    <w:rsid w:val="23CB2B9E"/>
    <w:rsid w:val="23D81418"/>
    <w:rsid w:val="23ED5A13"/>
    <w:rsid w:val="23F94540"/>
    <w:rsid w:val="240E73F2"/>
    <w:rsid w:val="24210A23"/>
    <w:rsid w:val="245C07F2"/>
    <w:rsid w:val="24757D4C"/>
    <w:rsid w:val="24AB1256"/>
    <w:rsid w:val="24B518CC"/>
    <w:rsid w:val="24B56A98"/>
    <w:rsid w:val="24CE77F6"/>
    <w:rsid w:val="24DB4F2D"/>
    <w:rsid w:val="24E42A94"/>
    <w:rsid w:val="251C5DBB"/>
    <w:rsid w:val="252761BD"/>
    <w:rsid w:val="252839BD"/>
    <w:rsid w:val="25293FB4"/>
    <w:rsid w:val="253C6C14"/>
    <w:rsid w:val="25A238A7"/>
    <w:rsid w:val="25DB502E"/>
    <w:rsid w:val="26002784"/>
    <w:rsid w:val="260F116F"/>
    <w:rsid w:val="26152BD2"/>
    <w:rsid w:val="261F4AED"/>
    <w:rsid w:val="26442834"/>
    <w:rsid w:val="265D51D7"/>
    <w:rsid w:val="266A323D"/>
    <w:rsid w:val="26732D9B"/>
    <w:rsid w:val="26C12BAA"/>
    <w:rsid w:val="26D74537"/>
    <w:rsid w:val="26ED3A32"/>
    <w:rsid w:val="27286E69"/>
    <w:rsid w:val="275070BA"/>
    <w:rsid w:val="279E7D03"/>
    <w:rsid w:val="27DB0CCE"/>
    <w:rsid w:val="27E96D1D"/>
    <w:rsid w:val="27F771E4"/>
    <w:rsid w:val="280100B5"/>
    <w:rsid w:val="28882DC6"/>
    <w:rsid w:val="288F65AE"/>
    <w:rsid w:val="289E11A5"/>
    <w:rsid w:val="28A0600C"/>
    <w:rsid w:val="28A11570"/>
    <w:rsid w:val="291F1B61"/>
    <w:rsid w:val="293F3E1D"/>
    <w:rsid w:val="29406768"/>
    <w:rsid w:val="29784E36"/>
    <w:rsid w:val="29865647"/>
    <w:rsid w:val="29AA2710"/>
    <w:rsid w:val="29D26C58"/>
    <w:rsid w:val="29EC0BA0"/>
    <w:rsid w:val="2A136718"/>
    <w:rsid w:val="2A3203D0"/>
    <w:rsid w:val="2A361134"/>
    <w:rsid w:val="2A40219D"/>
    <w:rsid w:val="2A662886"/>
    <w:rsid w:val="2A736933"/>
    <w:rsid w:val="2AB60482"/>
    <w:rsid w:val="2AC73A5E"/>
    <w:rsid w:val="2AFB3EA8"/>
    <w:rsid w:val="2B045D20"/>
    <w:rsid w:val="2B226C9A"/>
    <w:rsid w:val="2B436DED"/>
    <w:rsid w:val="2B521DE2"/>
    <w:rsid w:val="2BB056D1"/>
    <w:rsid w:val="2C3B227F"/>
    <w:rsid w:val="2C415592"/>
    <w:rsid w:val="2C5B2B99"/>
    <w:rsid w:val="2C685216"/>
    <w:rsid w:val="2C8063CD"/>
    <w:rsid w:val="2C9322AE"/>
    <w:rsid w:val="2CA21568"/>
    <w:rsid w:val="2CBE31C8"/>
    <w:rsid w:val="2CC13E36"/>
    <w:rsid w:val="2CC44784"/>
    <w:rsid w:val="2CC94ED2"/>
    <w:rsid w:val="2CCB6B16"/>
    <w:rsid w:val="2CD768E4"/>
    <w:rsid w:val="2CF34FA1"/>
    <w:rsid w:val="2D017DEF"/>
    <w:rsid w:val="2D127A5F"/>
    <w:rsid w:val="2D1F2ECC"/>
    <w:rsid w:val="2D337F5A"/>
    <w:rsid w:val="2D49667A"/>
    <w:rsid w:val="2D5C209E"/>
    <w:rsid w:val="2D6830FF"/>
    <w:rsid w:val="2D754DCE"/>
    <w:rsid w:val="2DC2041E"/>
    <w:rsid w:val="2DCF0C7B"/>
    <w:rsid w:val="2DD70660"/>
    <w:rsid w:val="2DEA1708"/>
    <w:rsid w:val="2DEE7CD3"/>
    <w:rsid w:val="2E092C4E"/>
    <w:rsid w:val="2E2712B1"/>
    <w:rsid w:val="2E3C717A"/>
    <w:rsid w:val="2E430CB2"/>
    <w:rsid w:val="2EAB597D"/>
    <w:rsid w:val="2EB8648F"/>
    <w:rsid w:val="2EEE2AB9"/>
    <w:rsid w:val="2F446740"/>
    <w:rsid w:val="2F8515B7"/>
    <w:rsid w:val="2F8E2836"/>
    <w:rsid w:val="2F93302F"/>
    <w:rsid w:val="2FA320CD"/>
    <w:rsid w:val="2FB45AB9"/>
    <w:rsid w:val="2FFA71D2"/>
    <w:rsid w:val="30005C6F"/>
    <w:rsid w:val="302665B0"/>
    <w:rsid w:val="302D1EB3"/>
    <w:rsid w:val="30323EEA"/>
    <w:rsid w:val="30644BEC"/>
    <w:rsid w:val="307B3DBC"/>
    <w:rsid w:val="308644FE"/>
    <w:rsid w:val="308C4A4D"/>
    <w:rsid w:val="30E946C2"/>
    <w:rsid w:val="313B112D"/>
    <w:rsid w:val="314D6516"/>
    <w:rsid w:val="316F727E"/>
    <w:rsid w:val="318B6C0D"/>
    <w:rsid w:val="31976A34"/>
    <w:rsid w:val="31BA1474"/>
    <w:rsid w:val="31C5494E"/>
    <w:rsid w:val="31E444CB"/>
    <w:rsid w:val="323616E8"/>
    <w:rsid w:val="323B2028"/>
    <w:rsid w:val="326F2A69"/>
    <w:rsid w:val="327A2837"/>
    <w:rsid w:val="327E572F"/>
    <w:rsid w:val="32BD42F6"/>
    <w:rsid w:val="32C7161E"/>
    <w:rsid w:val="32CC7136"/>
    <w:rsid w:val="32FD41A6"/>
    <w:rsid w:val="32FF29C8"/>
    <w:rsid w:val="335523CF"/>
    <w:rsid w:val="33917839"/>
    <w:rsid w:val="33932F7A"/>
    <w:rsid w:val="33C24DC0"/>
    <w:rsid w:val="33CC7750"/>
    <w:rsid w:val="34450403"/>
    <w:rsid w:val="344E34B3"/>
    <w:rsid w:val="34575759"/>
    <w:rsid w:val="346B0ABB"/>
    <w:rsid w:val="346E58C2"/>
    <w:rsid w:val="3493257F"/>
    <w:rsid w:val="349D54E8"/>
    <w:rsid w:val="34C621B6"/>
    <w:rsid w:val="351E359C"/>
    <w:rsid w:val="352E24A5"/>
    <w:rsid w:val="3541121B"/>
    <w:rsid w:val="35553E3E"/>
    <w:rsid w:val="359405D7"/>
    <w:rsid w:val="359D04EC"/>
    <w:rsid w:val="359F479A"/>
    <w:rsid w:val="35A142E2"/>
    <w:rsid w:val="35A56D6E"/>
    <w:rsid w:val="35C74ED7"/>
    <w:rsid w:val="35C90093"/>
    <w:rsid w:val="35F4699D"/>
    <w:rsid w:val="360D5F9B"/>
    <w:rsid w:val="363C130E"/>
    <w:rsid w:val="36523278"/>
    <w:rsid w:val="36714630"/>
    <w:rsid w:val="367342AE"/>
    <w:rsid w:val="367676D6"/>
    <w:rsid w:val="36A526B2"/>
    <w:rsid w:val="36D56678"/>
    <w:rsid w:val="37583472"/>
    <w:rsid w:val="37D254CE"/>
    <w:rsid w:val="37D70AD5"/>
    <w:rsid w:val="37EF7E64"/>
    <w:rsid w:val="382652C2"/>
    <w:rsid w:val="38350338"/>
    <w:rsid w:val="3835234A"/>
    <w:rsid w:val="383E37BF"/>
    <w:rsid w:val="384D1B7A"/>
    <w:rsid w:val="385E3EEE"/>
    <w:rsid w:val="388C6CD8"/>
    <w:rsid w:val="388E2EDD"/>
    <w:rsid w:val="38BB0774"/>
    <w:rsid w:val="38DB1230"/>
    <w:rsid w:val="39186BF9"/>
    <w:rsid w:val="392E0741"/>
    <w:rsid w:val="393A3C9D"/>
    <w:rsid w:val="39675288"/>
    <w:rsid w:val="396C47F3"/>
    <w:rsid w:val="39AC5D6E"/>
    <w:rsid w:val="39D37052"/>
    <w:rsid w:val="3A382F68"/>
    <w:rsid w:val="3A4836B6"/>
    <w:rsid w:val="3A490ECA"/>
    <w:rsid w:val="3A526BB2"/>
    <w:rsid w:val="3A8C17BD"/>
    <w:rsid w:val="3A9E29BF"/>
    <w:rsid w:val="3AA4422F"/>
    <w:rsid w:val="3AAC1C1A"/>
    <w:rsid w:val="3AB753F3"/>
    <w:rsid w:val="3AC25B21"/>
    <w:rsid w:val="3AC47F62"/>
    <w:rsid w:val="3AD3532A"/>
    <w:rsid w:val="3B3B5A8B"/>
    <w:rsid w:val="3B5515FA"/>
    <w:rsid w:val="3B610557"/>
    <w:rsid w:val="3B694808"/>
    <w:rsid w:val="3B727DCC"/>
    <w:rsid w:val="3B8B6377"/>
    <w:rsid w:val="3B971624"/>
    <w:rsid w:val="3BA41553"/>
    <w:rsid w:val="3BB8493B"/>
    <w:rsid w:val="3BDE64B5"/>
    <w:rsid w:val="3BF31293"/>
    <w:rsid w:val="3BFC4B09"/>
    <w:rsid w:val="3BFF7062"/>
    <w:rsid w:val="3C362C7F"/>
    <w:rsid w:val="3C434390"/>
    <w:rsid w:val="3C46015A"/>
    <w:rsid w:val="3C540A40"/>
    <w:rsid w:val="3C942E8C"/>
    <w:rsid w:val="3CA5331F"/>
    <w:rsid w:val="3CCF03C6"/>
    <w:rsid w:val="3CEB59A8"/>
    <w:rsid w:val="3D0019F9"/>
    <w:rsid w:val="3D2B65D3"/>
    <w:rsid w:val="3D352683"/>
    <w:rsid w:val="3D8F55BB"/>
    <w:rsid w:val="3DA20BE9"/>
    <w:rsid w:val="3DA7204C"/>
    <w:rsid w:val="3DAD27E4"/>
    <w:rsid w:val="3DB90C26"/>
    <w:rsid w:val="3DBE5B38"/>
    <w:rsid w:val="3DFA47F9"/>
    <w:rsid w:val="3E120A5B"/>
    <w:rsid w:val="3E23226D"/>
    <w:rsid w:val="3E280A90"/>
    <w:rsid w:val="3E350B78"/>
    <w:rsid w:val="3E7108AD"/>
    <w:rsid w:val="3E981EE7"/>
    <w:rsid w:val="3E9E221A"/>
    <w:rsid w:val="3EC5169E"/>
    <w:rsid w:val="3F076156"/>
    <w:rsid w:val="3F083375"/>
    <w:rsid w:val="3F24332B"/>
    <w:rsid w:val="3FA84954"/>
    <w:rsid w:val="3FAF663D"/>
    <w:rsid w:val="3FC8765E"/>
    <w:rsid w:val="3FD1068A"/>
    <w:rsid w:val="4006308E"/>
    <w:rsid w:val="40197FCD"/>
    <w:rsid w:val="401F7FCE"/>
    <w:rsid w:val="406C4AAE"/>
    <w:rsid w:val="409337FC"/>
    <w:rsid w:val="40DD38B0"/>
    <w:rsid w:val="40E1386B"/>
    <w:rsid w:val="40E85791"/>
    <w:rsid w:val="40F17066"/>
    <w:rsid w:val="40F27372"/>
    <w:rsid w:val="410005AE"/>
    <w:rsid w:val="411234EB"/>
    <w:rsid w:val="41330589"/>
    <w:rsid w:val="41836E00"/>
    <w:rsid w:val="419546F0"/>
    <w:rsid w:val="41FB7AF5"/>
    <w:rsid w:val="42080DB4"/>
    <w:rsid w:val="42164C30"/>
    <w:rsid w:val="42393AE3"/>
    <w:rsid w:val="423C761B"/>
    <w:rsid w:val="4259770C"/>
    <w:rsid w:val="426A0B75"/>
    <w:rsid w:val="42746947"/>
    <w:rsid w:val="427D79B8"/>
    <w:rsid w:val="42C30997"/>
    <w:rsid w:val="431B746E"/>
    <w:rsid w:val="432C720F"/>
    <w:rsid w:val="434E7F42"/>
    <w:rsid w:val="43640342"/>
    <w:rsid w:val="437C3950"/>
    <w:rsid w:val="438230B3"/>
    <w:rsid w:val="43E0159C"/>
    <w:rsid w:val="440A6CA0"/>
    <w:rsid w:val="44700786"/>
    <w:rsid w:val="44AA6804"/>
    <w:rsid w:val="44BD48DA"/>
    <w:rsid w:val="44ED1ACA"/>
    <w:rsid w:val="45064A91"/>
    <w:rsid w:val="45140C4A"/>
    <w:rsid w:val="45390782"/>
    <w:rsid w:val="455E23E9"/>
    <w:rsid w:val="45BD179E"/>
    <w:rsid w:val="45D50040"/>
    <w:rsid w:val="45DA2C14"/>
    <w:rsid w:val="45FF1AD6"/>
    <w:rsid w:val="460A1E32"/>
    <w:rsid w:val="465667CE"/>
    <w:rsid w:val="468D3B30"/>
    <w:rsid w:val="469A66C2"/>
    <w:rsid w:val="46A973D2"/>
    <w:rsid w:val="46B6770A"/>
    <w:rsid w:val="46F92C3D"/>
    <w:rsid w:val="46FE6066"/>
    <w:rsid w:val="47093750"/>
    <w:rsid w:val="472A375B"/>
    <w:rsid w:val="474943C2"/>
    <w:rsid w:val="47695923"/>
    <w:rsid w:val="476B6BD2"/>
    <w:rsid w:val="47AF0D69"/>
    <w:rsid w:val="47D40FD6"/>
    <w:rsid w:val="47D4448A"/>
    <w:rsid w:val="48144FDA"/>
    <w:rsid w:val="484D336D"/>
    <w:rsid w:val="48B57A76"/>
    <w:rsid w:val="48CE5A45"/>
    <w:rsid w:val="48F35DA9"/>
    <w:rsid w:val="490A2EA7"/>
    <w:rsid w:val="4950242C"/>
    <w:rsid w:val="499A672E"/>
    <w:rsid w:val="49AD6A99"/>
    <w:rsid w:val="49BE7CCD"/>
    <w:rsid w:val="49CC5942"/>
    <w:rsid w:val="49D7384A"/>
    <w:rsid w:val="49DA3223"/>
    <w:rsid w:val="49DD538A"/>
    <w:rsid w:val="49FA1EF9"/>
    <w:rsid w:val="4A2475BB"/>
    <w:rsid w:val="4A2C5BBF"/>
    <w:rsid w:val="4A405907"/>
    <w:rsid w:val="4A5C0909"/>
    <w:rsid w:val="4AA62543"/>
    <w:rsid w:val="4AB4034B"/>
    <w:rsid w:val="4AC66BAD"/>
    <w:rsid w:val="4AD727C5"/>
    <w:rsid w:val="4B1B7D47"/>
    <w:rsid w:val="4B2472C5"/>
    <w:rsid w:val="4B2D03FA"/>
    <w:rsid w:val="4B524331"/>
    <w:rsid w:val="4B837440"/>
    <w:rsid w:val="4BB45A34"/>
    <w:rsid w:val="4BCC289B"/>
    <w:rsid w:val="4BE20FAC"/>
    <w:rsid w:val="4BF2735E"/>
    <w:rsid w:val="4C4C79E1"/>
    <w:rsid w:val="4C4E7531"/>
    <w:rsid w:val="4C6F3822"/>
    <w:rsid w:val="4CA00C5B"/>
    <w:rsid w:val="4CC333B0"/>
    <w:rsid w:val="4CC73743"/>
    <w:rsid w:val="4CE95FFF"/>
    <w:rsid w:val="4D205B99"/>
    <w:rsid w:val="4D2311E7"/>
    <w:rsid w:val="4D751A45"/>
    <w:rsid w:val="4D7B4D74"/>
    <w:rsid w:val="4D81619C"/>
    <w:rsid w:val="4D9A73E9"/>
    <w:rsid w:val="4DB45924"/>
    <w:rsid w:val="4E114392"/>
    <w:rsid w:val="4E13526D"/>
    <w:rsid w:val="4E6B60D5"/>
    <w:rsid w:val="4E751D5A"/>
    <w:rsid w:val="4EB16F26"/>
    <w:rsid w:val="4EE77059"/>
    <w:rsid w:val="4EFA37E4"/>
    <w:rsid w:val="4F331436"/>
    <w:rsid w:val="4F640C6C"/>
    <w:rsid w:val="4F704FE7"/>
    <w:rsid w:val="4F906092"/>
    <w:rsid w:val="4FB75E85"/>
    <w:rsid w:val="4FBB2E8B"/>
    <w:rsid w:val="4FE435C0"/>
    <w:rsid w:val="4FE67272"/>
    <w:rsid w:val="4FFB11C5"/>
    <w:rsid w:val="502074D3"/>
    <w:rsid w:val="503D5688"/>
    <w:rsid w:val="51D34591"/>
    <w:rsid w:val="51D46F8B"/>
    <w:rsid w:val="51D8643D"/>
    <w:rsid w:val="51FF2422"/>
    <w:rsid w:val="520E4E7D"/>
    <w:rsid w:val="521244A0"/>
    <w:rsid w:val="52365FCD"/>
    <w:rsid w:val="523D116B"/>
    <w:rsid w:val="528C4D33"/>
    <w:rsid w:val="529F4C0A"/>
    <w:rsid w:val="52BD1645"/>
    <w:rsid w:val="52BF71CA"/>
    <w:rsid w:val="52DE69C8"/>
    <w:rsid w:val="52E428E3"/>
    <w:rsid w:val="52ED541E"/>
    <w:rsid w:val="531B58EE"/>
    <w:rsid w:val="535B59BA"/>
    <w:rsid w:val="536233B8"/>
    <w:rsid w:val="53690879"/>
    <w:rsid w:val="53814164"/>
    <w:rsid w:val="539B4437"/>
    <w:rsid w:val="542F3F24"/>
    <w:rsid w:val="54483A19"/>
    <w:rsid w:val="5476349F"/>
    <w:rsid w:val="547C0049"/>
    <w:rsid w:val="54967015"/>
    <w:rsid w:val="549A0600"/>
    <w:rsid w:val="54BD6254"/>
    <w:rsid w:val="54CE2352"/>
    <w:rsid w:val="54FB08C6"/>
    <w:rsid w:val="550D22D8"/>
    <w:rsid w:val="55164621"/>
    <w:rsid w:val="55291325"/>
    <w:rsid w:val="55D71612"/>
    <w:rsid w:val="55E60CCC"/>
    <w:rsid w:val="55F237C6"/>
    <w:rsid w:val="55FC39D9"/>
    <w:rsid w:val="561E09F4"/>
    <w:rsid w:val="563912C9"/>
    <w:rsid w:val="564F64D0"/>
    <w:rsid w:val="565031E0"/>
    <w:rsid w:val="56633637"/>
    <w:rsid w:val="56B45D83"/>
    <w:rsid w:val="56C476E2"/>
    <w:rsid w:val="56CD46FC"/>
    <w:rsid w:val="56E34D80"/>
    <w:rsid w:val="57040B4C"/>
    <w:rsid w:val="57660A0F"/>
    <w:rsid w:val="57BC2EF9"/>
    <w:rsid w:val="580339CA"/>
    <w:rsid w:val="58056582"/>
    <w:rsid w:val="5815756A"/>
    <w:rsid w:val="582707D6"/>
    <w:rsid w:val="58B6790C"/>
    <w:rsid w:val="58BF2B46"/>
    <w:rsid w:val="58CB7F12"/>
    <w:rsid w:val="58DE6037"/>
    <w:rsid w:val="58F331D3"/>
    <w:rsid w:val="59105FA6"/>
    <w:rsid w:val="591A083E"/>
    <w:rsid w:val="59240649"/>
    <w:rsid w:val="59284FEC"/>
    <w:rsid w:val="59297746"/>
    <w:rsid w:val="592D2424"/>
    <w:rsid w:val="59305383"/>
    <w:rsid w:val="598A4D0F"/>
    <w:rsid w:val="598F4881"/>
    <w:rsid w:val="599E20C8"/>
    <w:rsid w:val="59B71E1D"/>
    <w:rsid w:val="5A0C70A7"/>
    <w:rsid w:val="5A3B09DF"/>
    <w:rsid w:val="5A471D5E"/>
    <w:rsid w:val="5A6816DD"/>
    <w:rsid w:val="5A70054A"/>
    <w:rsid w:val="5A7F7015"/>
    <w:rsid w:val="5A8122A3"/>
    <w:rsid w:val="5A9A698A"/>
    <w:rsid w:val="5AA74B66"/>
    <w:rsid w:val="5ADF048E"/>
    <w:rsid w:val="5B021836"/>
    <w:rsid w:val="5B2C4018"/>
    <w:rsid w:val="5B425787"/>
    <w:rsid w:val="5B4C6E79"/>
    <w:rsid w:val="5B734B94"/>
    <w:rsid w:val="5B755076"/>
    <w:rsid w:val="5BDE3A63"/>
    <w:rsid w:val="5C0904FE"/>
    <w:rsid w:val="5C5129B6"/>
    <w:rsid w:val="5C785A8D"/>
    <w:rsid w:val="5C7A106C"/>
    <w:rsid w:val="5CA3064B"/>
    <w:rsid w:val="5CC7693A"/>
    <w:rsid w:val="5CD306D8"/>
    <w:rsid w:val="5D0E099C"/>
    <w:rsid w:val="5D2B3AE7"/>
    <w:rsid w:val="5D674FD5"/>
    <w:rsid w:val="5DC6609D"/>
    <w:rsid w:val="5DE573E9"/>
    <w:rsid w:val="5DEE5728"/>
    <w:rsid w:val="5E067419"/>
    <w:rsid w:val="5E092BC6"/>
    <w:rsid w:val="5E1B6949"/>
    <w:rsid w:val="5E293ED2"/>
    <w:rsid w:val="5E373B6D"/>
    <w:rsid w:val="5E6D58DB"/>
    <w:rsid w:val="5E971AD4"/>
    <w:rsid w:val="5E9D1B4F"/>
    <w:rsid w:val="5EC6648D"/>
    <w:rsid w:val="5EED7343"/>
    <w:rsid w:val="5EFF2C74"/>
    <w:rsid w:val="5F282B1F"/>
    <w:rsid w:val="5F444F46"/>
    <w:rsid w:val="5F5346B1"/>
    <w:rsid w:val="5F7C5193"/>
    <w:rsid w:val="5F981B64"/>
    <w:rsid w:val="5F9D6E72"/>
    <w:rsid w:val="5FA12D37"/>
    <w:rsid w:val="5FFA77EC"/>
    <w:rsid w:val="60125EDD"/>
    <w:rsid w:val="60203AD8"/>
    <w:rsid w:val="602B0D11"/>
    <w:rsid w:val="60757F76"/>
    <w:rsid w:val="608E601C"/>
    <w:rsid w:val="609D0497"/>
    <w:rsid w:val="60EC4875"/>
    <w:rsid w:val="613E2AF5"/>
    <w:rsid w:val="616F1A13"/>
    <w:rsid w:val="61745E9E"/>
    <w:rsid w:val="61865BDD"/>
    <w:rsid w:val="61986139"/>
    <w:rsid w:val="61F325D3"/>
    <w:rsid w:val="621C7832"/>
    <w:rsid w:val="6220348C"/>
    <w:rsid w:val="627604AD"/>
    <w:rsid w:val="62B30820"/>
    <w:rsid w:val="62CA5689"/>
    <w:rsid w:val="63031CDC"/>
    <w:rsid w:val="63082D64"/>
    <w:rsid w:val="63094603"/>
    <w:rsid w:val="63175C06"/>
    <w:rsid w:val="63181692"/>
    <w:rsid w:val="631F41B9"/>
    <w:rsid w:val="63282C78"/>
    <w:rsid w:val="63370488"/>
    <w:rsid w:val="63523FAB"/>
    <w:rsid w:val="63581324"/>
    <w:rsid w:val="6358683E"/>
    <w:rsid w:val="636A45FE"/>
    <w:rsid w:val="639C7294"/>
    <w:rsid w:val="63CD417B"/>
    <w:rsid w:val="63DD30E1"/>
    <w:rsid w:val="643F6685"/>
    <w:rsid w:val="64526133"/>
    <w:rsid w:val="6473418C"/>
    <w:rsid w:val="648D1FE9"/>
    <w:rsid w:val="64A3532B"/>
    <w:rsid w:val="64CF406A"/>
    <w:rsid w:val="653A0DF7"/>
    <w:rsid w:val="6548064A"/>
    <w:rsid w:val="655C0BE3"/>
    <w:rsid w:val="65B021E3"/>
    <w:rsid w:val="65B533E5"/>
    <w:rsid w:val="65E22DF3"/>
    <w:rsid w:val="65F4741C"/>
    <w:rsid w:val="660033F0"/>
    <w:rsid w:val="66107375"/>
    <w:rsid w:val="66240220"/>
    <w:rsid w:val="662B66C8"/>
    <w:rsid w:val="66317D50"/>
    <w:rsid w:val="66357623"/>
    <w:rsid w:val="663B66B0"/>
    <w:rsid w:val="66626E7F"/>
    <w:rsid w:val="667C3435"/>
    <w:rsid w:val="669956A9"/>
    <w:rsid w:val="66C17DC8"/>
    <w:rsid w:val="66CF68A7"/>
    <w:rsid w:val="66E036AC"/>
    <w:rsid w:val="66FD0D25"/>
    <w:rsid w:val="67073BF6"/>
    <w:rsid w:val="671873BB"/>
    <w:rsid w:val="671A6275"/>
    <w:rsid w:val="671B3B6A"/>
    <w:rsid w:val="671F32BA"/>
    <w:rsid w:val="672A1877"/>
    <w:rsid w:val="67B67222"/>
    <w:rsid w:val="67CF3185"/>
    <w:rsid w:val="680D4DEE"/>
    <w:rsid w:val="68427794"/>
    <w:rsid w:val="684C07CF"/>
    <w:rsid w:val="686E13E0"/>
    <w:rsid w:val="686F64D4"/>
    <w:rsid w:val="68961810"/>
    <w:rsid w:val="689F715E"/>
    <w:rsid w:val="68C51AA0"/>
    <w:rsid w:val="68D04E52"/>
    <w:rsid w:val="68F42B86"/>
    <w:rsid w:val="68F8348A"/>
    <w:rsid w:val="69031C0A"/>
    <w:rsid w:val="69216417"/>
    <w:rsid w:val="69355879"/>
    <w:rsid w:val="69380F3B"/>
    <w:rsid w:val="69834E7D"/>
    <w:rsid w:val="69C72C5F"/>
    <w:rsid w:val="69C83619"/>
    <w:rsid w:val="69CD31AE"/>
    <w:rsid w:val="6A0F5902"/>
    <w:rsid w:val="6A2F0E4C"/>
    <w:rsid w:val="6A964ADF"/>
    <w:rsid w:val="6ABB7D20"/>
    <w:rsid w:val="6AC47E50"/>
    <w:rsid w:val="6AF11D4D"/>
    <w:rsid w:val="6B0E3D9E"/>
    <w:rsid w:val="6B2F10C8"/>
    <w:rsid w:val="6B360B34"/>
    <w:rsid w:val="6BBC18F2"/>
    <w:rsid w:val="6BBE6861"/>
    <w:rsid w:val="6BEB6CE3"/>
    <w:rsid w:val="6BF216A1"/>
    <w:rsid w:val="6C1775D8"/>
    <w:rsid w:val="6C206810"/>
    <w:rsid w:val="6C443F7E"/>
    <w:rsid w:val="6C9B0C8E"/>
    <w:rsid w:val="6CCC0767"/>
    <w:rsid w:val="6CEB6209"/>
    <w:rsid w:val="6CF9474C"/>
    <w:rsid w:val="6D135960"/>
    <w:rsid w:val="6D4A65EF"/>
    <w:rsid w:val="6D58107C"/>
    <w:rsid w:val="6D63625A"/>
    <w:rsid w:val="6D724F2E"/>
    <w:rsid w:val="6D765681"/>
    <w:rsid w:val="6D773690"/>
    <w:rsid w:val="6D7870C4"/>
    <w:rsid w:val="6D7B350C"/>
    <w:rsid w:val="6D7F724D"/>
    <w:rsid w:val="6DA822F6"/>
    <w:rsid w:val="6DAF40D6"/>
    <w:rsid w:val="6DD4312A"/>
    <w:rsid w:val="6E0B517C"/>
    <w:rsid w:val="6E0F574D"/>
    <w:rsid w:val="6ED614EF"/>
    <w:rsid w:val="6EE75C0C"/>
    <w:rsid w:val="6F242DCB"/>
    <w:rsid w:val="6F307800"/>
    <w:rsid w:val="6F371AC3"/>
    <w:rsid w:val="6F6079EA"/>
    <w:rsid w:val="6F6A79F7"/>
    <w:rsid w:val="6F702C62"/>
    <w:rsid w:val="6F723C21"/>
    <w:rsid w:val="6F844566"/>
    <w:rsid w:val="6FBB3CD4"/>
    <w:rsid w:val="6FC86611"/>
    <w:rsid w:val="6FD455C4"/>
    <w:rsid w:val="6FD551F4"/>
    <w:rsid w:val="6FE05C44"/>
    <w:rsid w:val="6FF7342F"/>
    <w:rsid w:val="6FFA17B4"/>
    <w:rsid w:val="700202D6"/>
    <w:rsid w:val="70280CA2"/>
    <w:rsid w:val="70604900"/>
    <w:rsid w:val="70635939"/>
    <w:rsid w:val="70715D6B"/>
    <w:rsid w:val="708E7456"/>
    <w:rsid w:val="70A5773B"/>
    <w:rsid w:val="70A901D0"/>
    <w:rsid w:val="70F2667D"/>
    <w:rsid w:val="710B229D"/>
    <w:rsid w:val="71792CAC"/>
    <w:rsid w:val="71B907C2"/>
    <w:rsid w:val="720376C7"/>
    <w:rsid w:val="720E310C"/>
    <w:rsid w:val="72245444"/>
    <w:rsid w:val="722F1E7E"/>
    <w:rsid w:val="725904D0"/>
    <w:rsid w:val="72B31D69"/>
    <w:rsid w:val="72CE2105"/>
    <w:rsid w:val="72DA7ABE"/>
    <w:rsid w:val="73500AA1"/>
    <w:rsid w:val="736B6396"/>
    <w:rsid w:val="738A6CC6"/>
    <w:rsid w:val="742D6BF7"/>
    <w:rsid w:val="7443656E"/>
    <w:rsid w:val="747024B5"/>
    <w:rsid w:val="74C21333"/>
    <w:rsid w:val="74DA1C6F"/>
    <w:rsid w:val="74E36C87"/>
    <w:rsid w:val="74ED1EEC"/>
    <w:rsid w:val="75017C3F"/>
    <w:rsid w:val="75044157"/>
    <w:rsid w:val="753F75D4"/>
    <w:rsid w:val="754E7243"/>
    <w:rsid w:val="756D038A"/>
    <w:rsid w:val="7596357D"/>
    <w:rsid w:val="75D963A1"/>
    <w:rsid w:val="75E118FF"/>
    <w:rsid w:val="75EB2A05"/>
    <w:rsid w:val="76047A14"/>
    <w:rsid w:val="760A1AFE"/>
    <w:rsid w:val="761F3DC0"/>
    <w:rsid w:val="76403C42"/>
    <w:rsid w:val="76660B06"/>
    <w:rsid w:val="767B3F62"/>
    <w:rsid w:val="768D1BA6"/>
    <w:rsid w:val="76B50235"/>
    <w:rsid w:val="76E0002E"/>
    <w:rsid w:val="77173CE0"/>
    <w:rsid w:val="772C5307"/>
    <w:rsid w:val="77426488"/>
    <w:rsid w:val="77DF559E"/>
    <w:rsid w:val="77FE07DB"/>
    <w:rsid w:val="78061CDB"/>
    <w:rsid w:val="782151E3"/>
    <w:rsid w:val="782318BC"/>
    <w:rsid w:val="78235D95"/>
    <w:rsid w:val="78940E24"/>
    <w:rsid w:val="78A742ED"/>
    <w:rsid w:val="78A85173"/>
    <w:rsid w:val="78B04CEC"/>
    <w:rsid w:val="78FE269C"/>
    <w:rsid w:val="7A191BDA"/>
    <w:rsid w:val="7A6A36F9"/>
    <w:rsid w:val="7A710638"/>
    <w:rsid w:val="7A73164B"/>
    <w:rsid w:val="7B3A0DC1"/>
    <w:rsid w:val="7B4813FB"/>
    <w:rsid w:val="7B791F74"/>
    <w:rsid w:val="7BA7164B"/>
    <w:rsid w:val="7BB77E70"/>
    <w:rsid w:val="7BD91A73"/>
    <w:rsid w:val="7C1C0A6B"/>
    <w:rsid w:val="7C607E6F"/>
    <w:rsid w:val="7C6D04EE"/>
    <w:rsid w:val="7C6F6EE2"/>
    <w:rsid w:val="7C746FDA"/>
    <w:rsid w:val="7CA546D6"/>
    <w:rsid w:val="7CA6532F"/>
    <w:rsid w:val="7CB30220"/>
    <w:rsid w:val="7CBE5A45"/>
    <w:rsid w:val="7D5B5CA0"/>
    <w:rsid w:val="7D5F0BF3"/>
    <w:rsid w:val="7D8A48E6"/>
    <w:rsid w:val="7DA3226C"/>
    <w:rsid w:val="7DF17524"/>
    <w:rsid w:val="7E1D5EC7"/>
    <w:rsid w:val="7E310FE9"/>
    <w:rsid w:val="7E716B86"/>
    <w:rsid w:val="7E830735"/>
    <w:rsid w:val="7F162970"/>
    <w:rsid w:val="7F3A573B"/>
    <w:rsid w:val="7F3F1322"/>
    <w:rsid w:val="7F5D5F78"/>
    <w:rsid w:val="7F7E7F7A"/>
    <w:rsid w:val="7FB8020E"/>
    <w:rsid w:val="7FE2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30" w:firstLineChars="200"/>
      <w:jc w:val="left"/>
    </w:pPr>
    <w:rPr>
      <w:rFonts w:ascii="Times New Roman" w:hAnsi="Times New Roman" w:cs="Times New Roman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2548</Words>
  <Characters>2944</Characters>
  <Lines>21</Lines>
  <Paragraphs>5</Paragraphs>
  <TotalTime>146</TotalTime>
  <ScaleCrop>false</ScaleCrop>
  <LinksUpToDate>false</LinksUpToDate>
  <CharactersWithSpaces>2946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2025-04-11T08:21:00Z</dcterms:created>
  <dc:creator>sy</dc:creator>
  <cp:lastModifiedBy>若有其事</cp:lastModifiedBy>
  <dcterms:modified xsi:type="dcterms:W3CDTF">2026-01-30T07:58:12Z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482120C55EE7471DBCF2EE3F506E1301_13</vt:lpwstr>
  </property>
  <property fmtid="{D5CDD505-2E9C-101B-9397-08002B2CF9AE}" pid="4" name="KSOTemplateDocerSaveRecord">
    <vt:lpwstr>eyJoZGlkIjoiZGE5NzBmMGQ3YWRkYzdhM2IwMThhOWE5ZjBhM2Y2ZjYiLCJ1c2VySWQiOiI4MjU2OTU3NTYifQ==</vt:lpwstr>
  </property>
</Properties>
</file>